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15" w:rsidRPr="00831515" w:rsidRDefault="00831515" w:rsidP="008315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31515">
        <w:rPr>
          <w:rFonts w:ascii="Times New Roman" w:eastAsia="Times New Roman" w:hAnsi="Times New Roman" w:cs="Times New Roman"/>
          <w:b/>
          <w:bCs/>
          <w:kern w:val="36"/>
          <w:sz w:val="36"/>
          <w:szCs w:val="36"/>
          <w:lang w:eastAsia="ru-RU"/>
        </w:rPr>
        <w:t>ОТЧЕТ О ДЕЯТЕЛЬНОСТИ</w:t>
      </w:r>
      <w:r w:rsidRPr="00831515">
        <w:rPr>
          <w:rFonts w:ascii="Times New Roman" w:eastAsia="Times New Roman" w:hAnsi="Times New Roman" w:cs="Times New Roman"/>
          <w:b/>
          <w:bCs/>
          <w:kern w:val="36"/>
          <w:sz w:val="36"/>
          <w:szCs w:val="36"/>
          <w:lang w:eastAsia="ru-RU"/>
        </w:rPr>
        <w:br/>
        <w:t>ЗАО “САНКТ-ПЕТЕРБУРГСКАЯ ВАЛЮТНАЯ БИРЖА”</w:t>
      </w:r>
      <w:r w:rsidRPr="00831515">
        <w:rPr>
          <w:rFonts w:ascii="Times New Roman" w:eastAsia="Times New Roman" w:hAnsi="Times New Roman" w:cs="Times New Roman"/>
          <w:b/>
          <w:bCs/>
          <w:kern w:val="36"/>
          <w:sz w:val="36"/>
          <w:szCs w:val="36"/>
          <w:lang w:eastAsia="ru-RU"/>
        </w:rPr>
        <w:br/>
        <w:t xml:space="preserve">В 2001 ГОДУ </w:t>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Материалы к годовому общему собранию акционеров</w:t>
      </w:r>
      <w:r w:rsidRPr="00831515">
        <w:rPr>
          <w:rFonts w:ascii="Times New Roman" w:eastAsia="Times New Roman" w:hAnsi="Times New Roman" w:cs="Times New Roman"/>
          <w:sz w:val="24"/>
          <w:szCs w:val="24"/>
          <w:lang w:eastAsia="ru-RU"/>
        </w:rPr>
        <w:br/>
        <w:t>ЗАО “Санкт-Петербургская Валютная Биржа”</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СОДЕРЖАНИЕ</w:t>
      </w:r>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1" w:history="1">
        <w:r w:rsidRPr="00831515">
          <w:rPr>
            <w:rFonts w:ascii="Times New Roman" w:eastAsia="Times New Roman" w:hAnsi="Times New Roman" w:cs="Times New Roman"/>
            <w:color w:val="0000FF"/>
            <w:sz w:val="20"/>
            <w:szCs w:val="20"/>
            <w:u w:val="single"/>
            <w:lang w:eastAsia="ru-RU"/>
          </w:rPr>
          <w:t>ОСНОВНЫЕ ИТОГИ ТОРГОВ НА ФИНАНСОВЫХ РЫНКАХ СПВБ</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2" w:history="1">
        <w:r w:rsidRPr="00831515">
          <w:rPr>
            <w:rFonts w:ascii="Times New Roman" w:eastAsia="Times New Roman" w:hAnsi="Times New Roman" w:cs="Times New Roman"/>
            <w:color w:val="0000FF"/>
            <w:sz w:val="20"/>
            <w:szCs w:val="20"/>
            <w:u w:val="single"/>
            <w:lang w:eastAsia="ru-RU"/>
          </w:rPr>
          <w:t>ТОРГИ ИНОСТРАННОЙ ВАЛЮТОЙ</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3" w:history="1">
        <w:r w:rsidRPr="00831515">
          <w:rPr>
            <w:rFonts w:ascii="Times New Roman" w:eastAsia="Times New Roman" w:hAnsi="Times New Roman" w:cs="Times New Roman"/>
            <w:color w:val="0000FF"/>
            <w:sz w:val="20"/>
            <w:szCs w:val="20"/>
            <w:u w:val="single"/>
            <w:lang w:eastAsia="ru-RU"/>
          </w:rPr>
          <w:t>РЫНОК ГОСУДАРСТВЕННЫХ ЦЕННЫХ БУМАГ</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4" w:history="1">
        <w:r w:rsidRPr="00831515">
          <w:rPr>
            <w:rFonts w:ascii="Times New Roman" w:eastAsia="Times New Roman" w:hAnsi="Times New Roman" w:cs="Times New Roman"/>
            <w:color w:val="0000FF"/>
            <w:sz w:val="20"/>
            <w:szCs w:val="20"/>
            <w:u w:val="single"/>
            <w:lang w:eastAsia="ru-RU"/>
          </w:rPr>
          <w:t>РЫНОК ЦЕННЫХ БУМАГ СУБЪЕКТОВ РОССИЙСКОЙ ФЕДЕРАЦИИ</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5" w:history="1">
        <w:r w:rsidRPr="00831515">
          <w:rPr>
            <w:rFonts w:ascii="Times New Roman" w:eastAsia="Times New Roman" w:hAnsi="Times New Roman" w:cs="Times New Roman"/>
            <w:color w:val="0000FF"/>
            <w:sz w:val="20"/>
            <w:szCs w:val="20"/>
            <w:u w:val="single"/>
            <w:lang w:eastAsia="ru-RU"/>
          </w:rPr>
          <w:t>РЫНОК КОРПОРАТИВНЫХ ЦЕННЫХ БУМАГ СПВБ</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6" w:history="1">
        <w:r w:rsidRPr="00831515">
          <w:rPr>
            <w:rFonts w:ascii="Times New Roman" w:eastAsia="Times New Roman" w:hAnsi="Times New Roman" w:cs="Times New Roman"/>
            <w:color w:val="0000FF"/>
            <w:sz w:val="20"/>
            <w:szCs w:val="20"/>
            <w:u w:val="single"/>
            <w:lang w:eastAsia="ru-RU"/>
          </w:rPr>
          <w:t>ТОРГИ В СЕКЦИИ ФОНДОВОГО РЫНКА ММВБ</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7" w:history="1">
        <w:r w:rsidRPr="00831515">
          <w:rPr>
            <w:rFonts w:ascii="Times New Roman" w:eastAsia="Times New Roman" w:hAnsi="Times New Roman" w:cs="Times New Roman"/>
            <w:color w:val="0000FF"/>
            <w:sz w:val="20"/>
            <w:szCs w:val="20"/>
            <w:u w:val="single"/>
            <w:lang w:eastAsia="ru-RU"/>
          </w:rPr>
          <w:t>ТОРГИ В СЕКЦИИ СТАНДАРТНЫХ КОНТРАКТОВ СПВБ</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8" w:history="1">
        <w:r w:rsidRPr="00831515">
          <w:rPr>
            <w:rFonts w:ascii="Times New Roman" w:eastAsia="Times New Roman" w:hAnsi="Times New Roman" w:cs="Times New Roman"/>
            <w:color w:val="0000FF"/>
            <w:sz w:val="20"/>
            <w:szCs w:val="20"/>
            <w:u w:val="single"/>
            <w:lang w:eastAsia="ru-RU"/>
          </w:rPr>
          <w:t>РАЗВИТИЕ ПРОЕКТОВ, БИРЖЕВЫХ И ИНФОРМАЦИОННЫХ ТЕХНОЛОГИЙ</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9" w:history="1">
        <w:r w:rsidRPr="00831515">
          <w:rPr>
            <w:rFonts w:ascii="Times New Roman" w:eastAsia="Times New Roman" w:hAnsi="Times New Roman" w:cs="Times New Roman"/>
            <w:color w:val="0000FF"/>
            <w:sz w:val="20"/>
            <w:szCs w:val="20"/>
            <w:u w:val="single"/>
            <w:lang w:eastAsia="ru-RU"/>
          </w:rPr>
          <w:t>БАЛАНС НА 31 ДЕКАБРЯ 2001 ГОДА</w:t>
        </w:r>
      </w:hyperlink>
    </w:p>
    <w:p w:rsidR="00831515" w:rsidRPr="00831515" w:rsidRDefault="00831515" w:rsidP="008315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10" w:history="1">
        <w:r w:rsidRPr="00831515">
          <w:rPr>
            <w:rFonts w:ascii="Times New Roman" w:eastAsia="Times New Roman" w:hAnsi="Times New Roman" w:cs="Times New Roman"/>
            <w:color w:val="0000FF"/>
            <w:sz w:val="20"/>
            <w:szCs w:val="20"/>
            <w:u w:val="single"/>
            <w:lang w:eastAsia="ru-RU"/>
          </w:rPr>
          <w:t>ФИНАНСОВЫЕ РЕЗУЛЬТАТЫ ЗА 2001 ГОД</w:t>
        </w:r>
      </w:hyperlink>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1.</w:t>
      </w:r>
      <w:bookmarkStart w:id="0" w:name="1"/>
      <w:bookmarkEnd w:id="0"/>
      <w:r w:rsidRPr="00831515">
        <w:rPr>
          <w:rFonts w:ascii="Times New Roman" w:eastAsia="Times New Roman" w:hAnsi="Times New Roman" w:cs="Times New Roman"/>
          <w:b/>
          <w:bCs/>
          <w:sz w:val="24"/>
          <w:szCs w:val="24"/>
          <w:lang w:eastAsia="ru-RU"/>
        </w:rPr>
        <w:t>ОСНОВНЫЕ ИТОГИ ТОРГОВ НА ФИНАНСОВЫХ РЫНКАХ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ЗАО "Санкт-Петербургская Валютная Биржа" (СПВБ) предоставляет своим участникам торгов возможность совершения сделок с различными финансовыми инструментами, как в собственной торговой системе, так и в торговой системе Московской межбанковской валютной биржи (ММВБ).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На СПВБ проводятся торги иностранной валютой, облигациями субъектов Российской Федерации, корпоративными облигациями, акциями, стандартными контрактами. Биржа, кроме того, обеспечивает участникам возможность торговли на единой торговой сессии межбанковских валютных бирж по иностранной валюте (ЕТС) и предоставляет доступ к торгам ГКО/ОФЗ, а также торгам акциями и облигациями в секции фондового рынка ММВБ.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Членами секций СПВБ </w:t>
      </w:r>
      <w:proofErr w:type="gramStart"/>
      <w:r w:rsidRPr="00831515">
        <w:rPr>
          <w:rFonts w:ascii="Times New Roman" w:eastAsia="Times New Roman" w:hAnsi="Times New Roman" w:cs="Times New Roman"/>
          <w:sz w:val="24"/>
          <w:szCs w:val="24"/>
          <w:lang w:eastAsia="ru-RU"/>
        </w:rPr>
        <w:t>на конец</w:t>
      </w:r>
      <w:proofErr w:type="gramEnd"/>
      <w:r w:rsidRPr="00831515">
        <w:rPr>
          <w:rFonts w:ascii="Times New Roman" w:eastAsia="Times New Roman" w:hAnsi="Times New Roman" w:cs="Times New Roman"/>
          <w:sz w:val="24"/>
          <w:szCs w:val="24"/>
          <w:lang w:eastAsia="ru-RU"/>
        </w:rPr>
        <w:t xml:space="preserve"> 2001 года являлись: биржевой секции валютных операций – 208, фондовой секции – 97, секции стандартных контрактов – 42 банка и инвестиционные компании, представляющих более 50 городов России.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Совокупные биржевые обороты торгов иностранной валютой и ценными бумагами на СПВБ по итогам 2001 года без учета операций со стандартными контрактами составили 323,22 млрд. руб., увеличившись по отношению к 2000 году на 11,7% (в 2000 году - 289,24 млрд. руб.).</w:t>
      </w:r>
    </w:p>
    <w:p w:rsid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Биржевые обороты торгов на СПВБ на рынке стандартных контрактов по итогам 2001 года составили 1,17 млрд. руб.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Сравнительная динамика оборотов торгов показана в таблице.</w:t>
      </w:r>
    </w:p>
    <w:tbl>
      <w:tblPr>
        <w:tblW w:w="9435" w:type="dxa"/>
        <w:jc w:val="center"/>
        <w:tblCellSpacing w:w="7" w:type="dxa"/>
        <w:tblCellMar>
          <w:top w:w="30" w:type="dxa"/>
          <w:left w:w="30" w:type="dxa"/>
          <w:bottom w:w="30" w:type="dxa"/>
          <w:right w:w="30" w:type="dxa"/>
        </w:tblCellMar>
        <w:tblLook w:val="04A0" w:firstRow="1" w:lastRow="0" w:firstColumn="1" w:lastColumn="0" w:noHBand="0" w:noVBand="1"/>
      </w:tblPr>
      <w:tblGrid>
        <w:gridCol w:w="3278"/>
        <w:gridCol w:w="759"/>
        <w:gridCol w:w="759"/>
        <w:gridCol w:w="852"/>
        <w:gridCol w:w="759"/>
        <w:gridCol w:w="759"/>
        <w:gridCol w:w="759"/>
        <w:gridCol w:w="1510"/>
      </w:tblGrid>
      <w:tr w:rsidR="00831515" w:rsidRPr="00831515" w:rsidTr="00831515">
        <w:trPr>
          <w:trHeight w:val="255"/>
          <w:tblCellSpacing w:w="7" w:type="dxa"/>
          <w:jc w:val="center"/>
        </w:trPr>
        <w:tc>
          <w:tcPr>
            <w:tcW w:w="1750" w:type="pct"/>
            <w:vMerge w:val="restar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w:t>
            </w:r>
          </w:p>
        </w:tc>
        <w:tc>
          <w:tcPr>
            <w:tcW w:w="1250" w:type="pct"/>
            <w:gridSpan w:val="3"/>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Оборот, млрд. руб.</w:t>
            </w:r>
            <w:r w:rsidRPr="00831515">
              <w:rPr>
                <w:rFonts w:ascii="Times New Roman" w:eastAsia="Times New Roman" w:hAnsi="Times New Roman" w:cs="Times New Roman"/>
                <w:sz w:val="24"/>
                <w:szCs w:val="24"/>
                <w:lang w:eastAsia="ru-RU"/>
              </w:rPr>
              <w:t xml:space="preserve"> </w:t>
            </w:r>
          </w:p>
        </w:tc>
        <w:tc>
          <w:tcPr>
            <w:tcW w:w="1150" w:type="pct"/>
            <w:gridSpan w:val="3"/>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Доля в обороте, %</w:t>
            </w:r>
            <w:r w:rsidRPr="00831515">
              <w:rPr>
                <w:rFonts w:ascii="Times New Roman" w:eastAsia="Times New Roman" w:hAnsi="Times New Roman" w:cs="Times New Roman"/>
                <w:sz w:val="24"/>
                <w:szCs w:val="24"/>
                <w:lang w:eastAsia="ru-RU"/>
              </w:rPr>
              <w:t xml:space="preserve"> </w:t>
            </w:r>
          </w:p>
        </w:tc>
        <w:tc>
          <w:tcPr>
            <w:tcW w:w="850" w:type="pct"/>
            <w:vMerge w:val="restar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Оборот в 2001 г.</w:t>
            </w:r>
            <w:r w:rsidRPr="00831515">
              <w:rPr>
                <w:rFonts w:ascii="Times New Roman" w:eastAsia="Times New Roman" w:hAnsi="Times New Roman" w:cs="Times New Roman"/>
                <w:sz w:val="20"/>
                <w:szCs w:val="20"/>
                <w:lang w:eastAsia="ru-RU"/>
              </w:rPr>
              <w:br/>
              <w:t>к 2000 г., %</w:t>
            </w:r>
            <w:r w:rsidRPr="00831515">
              <w:rPr>
                <w:rFonts w:ascii="Times New Roman" w:eastAsia="Times New Roman" w:hAnsi="Times New Roman" w:cs="Times New Roman"/>
                <w:sz w:val="24"/>
                <w:szCs w:val="24"/>
                <w:lang w:eastAsia="ru-RU"/>
              </w:rPr>
              <w:t xml:space="preserve"> </w:t>
            </w:r>
          </w:p>
        </w:tc>
      </w:tr>
      <w:tr w:rsidR="00831515" w:rsidRPr="00831515" w:rsidTr="00831515">
        <w:trPr>
          <w:trHeight w:val="285"/>
          <w:tblCellSpacing w:w="7" w:type="dxa"/>
          <w:jc w:val="center"/>
        </w:trPr>
        <w:tc>
          <w:tcPr>
            <w:tcW w:w="0" w:type="auto"/>
            <w:vMerge/>
            <w:vAlign w:val="center"/>
            <w:hideMark/>
          </w:tcPr>
          <w:p w:rsidR="00831515" w:rsidRPr="00831515" w:rsidRDefault="00831515" w:rsidP="00831515">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1999 г.</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2000 г.</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2001 г.</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1999 г.</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2000 г.</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2001 г.</w:t>
            </w:r>
            <w:r w:rsidRPr="00831515">
              <w:rPr>
                <w:rFonts w:ascii="Times New Roman" w:eastAsia="Times New Roman" w:hAnsi="Times New Roman" w:cs="Times New Roman"/>
                <w:sz w:val="24"/>
                <w:szCs w:val="24"/>
                <w:lang w:eastAsia="ru-RU"/>
              </w:rPr>
              <w:t xml:space="preserve"> </w:t>
            </w:r>
          </w:p>
        </w:tc>
        <w:tc>
          <w:tcPr>
            <w:tcW w:w="0" w:type="auto"/>
            <w:vMerge/>
            <w:vAlign w:val="center"/>
            <w:hideMark/>
          </w:tcPr>
          <w:p w:rsidR="00831515" w:rsidRPr="00831515" w:rsidRDefault="00831515" w:rsidP="00831515">
            <w:pPr>
              <w:spacing w:after="0" w:line="240" w:lineRule="auto"/>
              <w:rPr>
                <w:rFonts w:ascii="Times New Roman" w:eastAsia="Times New Roman" w:hAnsi="Times New Roman" w:cs="Times New Roman"/>
                <w:sz w:val="24"/>
                <w:szCs w:val="24"/>
                <w:lang w:eastAsia="ru-RU"/>
              </w:rPr>
            </w:pPr>
          </w:p>
        </w:tc>
      </w:tr>
      <w:tr w:rsidR="00831515" w:rsidRPr="00831515" w:rsidTr="00831515">
        <w:trPr>
          <w:trHeight w:val="270"/>
          <w:tblCellSpacing w:w="7" w:type="dxa"/>
          <w:jc w:val="center"/>
        </w:trPr>
        <w:tc>
          <w:tcPr>
            <w:tcW w:w="175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Иностранная валюта</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152.8</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194.42</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199.8</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81.57</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67.2</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61.59</w:t>
            </w:r>
            <w:r w:rsidRPr="00831515">
              <w:rPr>
                <w:rFonts w:ascii="Times New Roman" w:eastAsia="Times New Roman" w:hAnsi="Times New Roman" w:cs="Times New Roman"/>
                <w:sz w:val="24"/>
                <w:szCs w:val="24"/>
                <w:lang w:eastAsia="ru-RU"/>
              </w:rPr>
              <w:t xml:space="preserve"> </w:t>
            </w:r>
          </w:p>
        </w:tc>
        <w:tc>
          <w:tcPr>
            <w:tcW w:w="85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102.77</w:t>
            </w:r>
            <w:r w:rsidRPr="00831515">
              <w:rPr>
                <w:rFonts w:ascii="Times New Roman" w:eastAsia="Times New Roman" w:hAnsi="Times New Roman" w:cs="Times New Roman"/>
                <w:sz w:val="24"/>
                <w:szCs w:val="24"/>
                <w:lang w:eastAsia="ru-RU"/>
              </w:rPr>
              <w:t xml:space="preserve"> </w:t>
            </w:r>
          </w:p>
        </w:tc>
      </w:tr>
      <w:tr w:rsidR="00831515" w:rsidRPr="00831515" w:rsidTr="00831515">
        <w:trPr>
          <w:trHeight w:val="255"/>
          <w:tblCellSpacing w:w="7" w:type="dxa"/>
          <w:jc w:val="center"/>
        </w:trPr>
        <w:tc>
          <w:tcPr>
            <w:tcW w:w="175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Облигации субъектов РФ</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19.05</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36.35</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45.16</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10.17</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12.56</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13.92</w:t>
            </w:r>
            <w:r w:rsidRPr="00831515">
              <w:rPr>
                <w:rFonts w:ascii="Times New Roman" w:eastAsia="Times New Roman" w:hAnsi="Times New Roman" w:cs="Times New Roman"/>
                <w:sz w:val="24"/>
                <w:szCs w:val="24"/>
                <w:lang w:eastAsia="ru-RU"/>
              </w:rPr>
              <w:t xml:space="preserve"> </w:t>
            </w:r>
          </w:p>
        </w:tc>
        <w:tc>
          <w:tcPr>
            <w:tcW w:w="85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124.24</w:t>
            </w:r>
            <w:r w:rsidRPr="00831515">
              <w:rPr>
                <w:rFonts w:ascii="Times New Roman" w:eastAsia="Times New Roman" w:hAnsi="Times New Roman" w:cs="Times New Roman"/>
                <w:sz w:val="24"/>
                <w:szCs w:val="24"/>
                <w:lang w:eastAsia="ru-RU"/>
              </w:rPr>
              <w:t xml:space="preserve"> </w:t>
            </w:r>
          </w:p>
        </w:tc>
      </w:tr>
      <w:tr w:rsidR="00831515" w:rsidRPr="00831515" w:rsidTr="00831515">
        <w:trPr>
          <w:trHeight w:val="300"/>
          <w:tblCellSpacing w:w="7" w:type="dxa"/>
          <w:jc w:val="center"/>
        </w:trPr>
        <w:tc>
          <w:tcPr>
            <w:tcW w:w="175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Государственные ценные бумаги</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5.63</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18.36</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10.45</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3.01</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6.35</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3.22</w:t>
            </w:r>
            <w:r w:rsidRPr="00831515">
              <w:rPr>
                <w:rFonts w:ascii="Times New Roman" w:eastAsia="Times New Roman" w:hAnsi="Times New Roman" w:cs="Times New Roman"/>
                <w:sz w:val="24"/>
                <w:szCs w:val="24"/>
                <w:lang w:eastAsia="ru-RU"/>
              </w:rPr>
              <w:t xml:space="preserve"> </w:t>
            </w:r>
          </w:p>
        </w:tc>
        <w:tc>
          <w:tcPr>
            <w:tcW w:w="85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56.92</w:t>
            </w:r>
            <w:r w:rsidRPr="00831515">
              <w:rPr>
                <w:rFonts w:ascii="Times New Roman" w:eastAsia="Times New Roman" w:hAnsi="Times New Roman" w:cs="Times New Roman"/>
                <w:sz w:val="24"/>
                <w:szCs w:val="24"/>
                <w:lang w:eastAsia="ru-RU"/>
              </w:rPr>
              <w:t xml:space="preserve"> </w:t>
            </w:r>
          </w:p>
        </w:tc>
      </w:tr>
      <w:tr w:rsidR="00831515" w:rsidRPr="00831515" w:rsidTr="00831515">
        <w:trPr>
          <w:trHeight w:val="450"/>
          <w:tblCellSpacing w:w="7" w:type="dxa"/>
          <w:jc w:val="center"/>
        </w:trPr>
        <w:tc>
          <w:tcPr>
            <w:tcW w:w="175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Ценные бумаги в фондовой секции ММВБ</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8.23</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37.37</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65.98</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4.39</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12.92</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20.34</w:t>
            </w:r>
            <w:r w:rsidRPr="00831515">
              <w:rPr>
                <w:rFonts w:ascii="Times New Roman" w:eastAsia="Times New Roman" w:hAnsi="Times New Roman" w:cs="Times New Roman"/>
                <w:sz w:val="24"/>
                <w:szCs w:val="24"/>
                <w:lang w:eastAsia="ru-RU"/>
              </w:rPr>
              <w:t xml:space="preserve"> </w:t>
            </w:r>
          </w:p>
        </w:tc>
        <w:tc>
          <w:tcPr>
            <w:tcW w:w="85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176.56</w:t>
            </w:r>
            <w:r w:rsidRPr="00831515">
              <w:rPr>
                <w:rFonts w:ascii="Times New Roman" w:eastAsia="Times New Roman" w:hAnsi="Times New Roman" w:cs="Times New Roman"/>
                <w:sz w:val="24"/>
                <w:szCs w:val="24"/>
                <w:lang w:eastAsia="ru-RU"/>
              </w:rPr>
              <w:t xml:space="preserve"> </w:t>
            </w:r>
          </w:p>
        </w:tc>
      </w:tr>
      <w:tr w:rsidR="00831515" w:rsidRPr="00831515" w:rsidTr="00831515">
        <w:trPr>
          <w:trHeight w:val="450"/>
          <w:tblCellSpacing w:w="7" w:type="dxa"/>
          <w:jc w:val="center"/>
        </w:trPr>
        <w:tc>
          <w:tcPr>
            <w:tcW w:w="175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Корпоративные ценные бумаги СПВБ</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1.62</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2.74</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1.83</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0.86</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0.95</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0.56</w:t>
            </w:r>
            <w:r w:rsidRPr="00831515">
              <w:rPr>
                <w:rFonts w:ascii="Times New Roman" w:eastAsia="Times New Roman" w:hAnsi="Times New Roman" w:cs="Times New Roman"/>
                <w:sz w:val="24"/>
                <w:szCs w:val="24"/>
                <w:lang w:eastAsia="ru-RU"/>
              </w:rPr>
              <w:t xml:space="preserve"> </w:t>
            </w:r>
          </w:p>
        </w:tc>
        <w:tc>
          <w:tcPr>
            <w:tcW w:w="85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66.79</w:t>
            </w:r>
            <w:r w:rsidRPr="00831515">
              <w:rPr>
                <w:rFonts w:ascii="Times New Roman" w:eastAsia="Times New Roman" w:hAnsi="Times New Roman" w:cs="Times New Roman"/>
                <w:sz w:val="24"/>
                <w:szCs w:val="24"/>
                <w:lang w:eastAsia="ru-RU"/>
              </w:rPr>
              <w:t xml:space="preserve"> </w:t>
            </w:r>
          </w:p>
        </w:tc>
      </w:tr>
      <w:tr w:rsidR="00831515" w:rsidRPr="00831515" w:rsidTr="00831515">
        <w:trPr>
          <w:trHeight w:val="255"/>
          <w:tblCellSpacing w:w="7" w:type="dxa"/>
          <w:jc w:val="center"/>
        </w:trPr>
        <w:tc>
          <w:tcPr>
            <w:tcW w:w="175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Стандартные контракты СПВБ</w:t>
            </w:r>
            <w:proofErr w:type="gramStart"/>
            <w:r w:rsidRPr="00831515">
              <w:rPr>
                <w:rFonts w:ascii="Times New Roman" w:eastAsia="Times New Roman" w:hAnsi="Times New Roman" w:cs="Times New Roman"/>
                <w:sz w:val="20"/>
                <w:szCs w:val="20"/>
                <w:lang w:eastAsia="ru-RU"/>
              </w:rPr>
              <w:t xml:space="preserve"> (*)</w:t>
            </w:r>
            <w:r w:rsidRPr="00831515">
              <w:rPr>
                <w:rFonts w:ascii="Times New Roman" w:eastAsia="Times New Roman" w:hAnsi="Times New Roman" w:cs="Times New Roman"/>
                <w:sz w:val="24"/>
                <w:szCs w:val="24"/>
                <w:lang w:eastAsia="ru-RU"/>
              </w:rPr>
              <w:t xml:space="preserve"> </w:t>
            </w:r>
            <w:proofErr w:type="gramEnd"/>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0.07</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1.17</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0.02</w:t>
            </w:r>
            <w:r w:rsidRPr="00831515">
              <w:rPr>
                <w:rFonts w:ascii="Times New Roman" w:eastAsia="Times New Roman" w:hAnsi="Times New Roman" w:cs="Times New Roman"/>
                <w:sz w:val="24"/>
                <w:szCs w:val="24"/>
                <w:lang w:eastAsia="ru-RU"/>
              </w:rPr>
              <w:t xml:space="preserve"> </w:t>
            </w:r>
          </w:p>
        </w:tc>
        <w:tc>
          <w:tcPr>
            <w:tcW w:w="4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0.36</w:t>
            </w:r>
            <w:r w:rsidRPr="00831515">
              <w:rPr>
                <w:rFonts w:ascii="Times New Roman" w:eastAsia="Times New Roman" w:hAnsi="Times New Roman" w:cs="Times New Roman"/>
                <w:sz w:val="24"/>
                <w:szCs w:val="24"/>
                <w:lang w:eastAsia="ru-RU"/>
              </w:rPr>
              <w:t xml:space="preserve"> </w:t>
            </w:r>
          </w:p>
        </w:tc>
        <w:tc>
          <w:tcPr>
            <w:tcW w:w="85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0"/>
                <w:szCs w:val="20"/>
                <w:lang w:eastAsia="ru-RU"/>
              </w:rPr>
              <w:t>1671.43</w:t>
            </w:r>
            <w:r w:rsidRPr="00831515">
              <w:rPr>
                <w:rFonts w:ascii="Times New Roman" w:eastAsia="Times New Roman" w:hAnsi="Times New Roman" w:cs="Times New Roman"/>
                <w:sz w:val="24"/>
                <w:szCs w:val="24"/>
                <w:lang w:eastAsia="ru-RU"/>
              </w:rPr>
              <w:t xml:space="preserve"> </w:t>
            </w:r>
          </w:p>
        </w:tc>
      </w:tr>
    </w:tbl>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 </w:t>
      </w:r>
      <w:r w:rsidRPr="00831515">
        <w:rPr>
          <w:rFonts w:ascii="Times New Roman" w:eastAsia="Times New Roman" w:hAnsi="Times New Roman" w:cs="Times New Roman"/>
          <w:sz w:val="20"/>
          <w:szCs w:val="20"/>
          <w:lang w:eastAsia="ru-RU"/>
        </w:rPr>
        <w:t>– первые торги стандартными контрактами на СПВБ состоялись 13 октября 2000 года.</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Изменение структуры фондового рынка на СПВБ показано на диаграмме, где за 100% принят оборот с ценными бумагами участников торгов на СПВБ:</w:t>
      </w:r>
    </w:p>
    <w:p w:rsidR="00831515" w:rsidRPr="00831515" w:rsidRDefault="00831515" w:rsidP="0083151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1999 год – 34,53 млрд. руб., </w:t>
      </w:r>
    </w:p>
    <w:p w:rsidR="00831515" w:rsidRPr="00831515" w:rsidRDefault="00831515" w:rsidP="0083151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2000 год – 94,82 млрд. руб., </w:t>
      </w:r>
    </w:p>
    <w:p w:rsidR="00831515" w:rsidRPr="00831515" w:rsidRDefault="00831515" w:rsidP="0083151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2001 год – 123,42 млрд. руб.</w:t>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noProof/>
          <w:sz w:val="24"/>
          <w:szCs w:val="24"/>
          <w:lang w:eastAsia="ru-RU"/>
        </w:rPr>
        <w:drawing>
          <wp:inline distT="0" distB="0" distL="0" distR="0" wp14:anchorId="2FCE6CD3" wp14:editId="1D31B1B9">
            <wp:extent cx="4943475" cy="2800350"/>
            <wp:effectExtent l="0" t="0" r="9525" b="0"/>
            <wp:docPr id="1" name="Рисунок 1" descr="http://spvb.ru/press/img/rp200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vb.ru/press/img/rp2001_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3475" cy="2800350"/>
                    </a:xfrm>
                    <a:prstGeom prst="rect">
                      <a:avLst/>
                    </a:prstGeom>
                    <a:noFill/>
                    <a:ln>
                      <a:noFill/>
                    </a:ln>
                  </pic:spPr>
                </pic:pic>
              </a:graphicData>
            </a:graphic>
          </wp:inline>
        </w:drawing>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2.</w:t>
      </w:r>
      <w:bookmarkStart w:id="1" w:name="2"/>
      <w:bookmarkEnd w:id="1"/>
      <w:r w:rsidRPr="00831515">
        <w:rPr>
          <w:rFonts w:ascii="Times New Roman" w:eastAsia="Times New Roman" w:hAnsi="Times New Roman" w:cs="Times New Roman"/>
          <w:b/>
          <w:bCs/>
          <w:sz w:val="24"/>
          <w:szCs w:val="24"/>
          <w:lang w:eastAsia="ru-RU"/>
        </w:rPr>
        <w:t>ТОРГИ ИНОСТРАННОЙ ВАЛЮТОЙ</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настоящее время валютный рынок является ведущим сегментом биржевых торгов на СПВБ. Сделки с иностранной валютой на бирже в 2001 году заключали 142 банка, представляющих 50 городов России.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Оборот торгов иностранной валютой на СПВБ, включая ЕТС и дневную торговую сессию, в 2001 году составил 6 175,4 млн. долларов США (в 2000 году – 6 468,3 млн. долларов США), 763,6 млн. евро (в 2000 году – 487,0 млн. евро). В течение 2001 года было заключено 184 858 сделок.</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В марте 2001 года был снижен размер комиссионного вознаграждения, взимаемого с участников торгов на ЕТС по сделкам покупки-продажи иностранной валюты за российские рубли до 0,06% от суммы каждой сделки, а в августе 2001 года снижен норматив обязательной продажи экспортной валютной выручки с 75 % до 50%.</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Из совокупного оборота торгов долларами США и евро на ЕТС пришлось соответственно 93,1% и 95,83%.</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По итогам 2001 года доля СПВБ на ЕТС составила соответственно 10,72% по доллару США и 27,27% - по евро от совокупного оборота ЕТС.</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Основной оборот торгов иностранной валютой на СПВБ пришелся на банки Санкт-Петербурга, доля которых в совокупном обороте составила 62,0%. Соответственно, доля региональных банков составила 22,1%, филиалов банков в Санкт-Петербурге – 14,9% и банков Москвы – 1,0%.</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На рисунках показана динамика изменения оборотов торгов иностранной валютой на СПВБ.</w:t>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noProof/>
          <w:sz w:val="24"/>
          <w:szCs w:val="24"/>
          <w:lang w:eastAsia="ru-RU"/>
        </w:rPr>
        <w:drawing>
          <wp:inline distT="0" distB="0" distL="0" distR="0" wp14:anchorId="0A86E349" wp14:editId="73CA1D04">
            <wp:extent cx="4295775" cy="2428875"/>
            <wp:effectExtent l="0" t="0" r="9525" b="9525"/>
            <wp:docPr id="2" name="Рисунок 2" descr="http://spvb.ru/press/img/rp200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vb.ru/press/img/rp2001_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2428875"/>
                    </a:xfrm>
                    <a:prstGeom prst="rect">
                      <a:avLst/>
                    </a:prstGeom>
                    <a:noFill/>
                    <a:ln>
                      <a:noFill/>
                    </a:ln>
                  </pic:spPr>
                </pic:pic>
              </a:graphicData>
            </a:graphic>
          </wp:inline>
        </w:drawing>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noProof/>
          <w:sz w:val="24"/>
          <w:szCs w:val="24"/>
          <w:lang w:eastAsia="ru-RU"/>
        </w:rPr>
        <w:drawing>
          <wp:inline distT="0" distB="0" distL="0" distR="0" wp14:anchorId="36202D36" wp14:editId="0B734FEE">
            <wp:extent cx="4257675" cy="2428875"/>
            <wp:effectExtent l="0" t="0" r="9525" b="9525"/>
            <wp:docPr id="3" name="Рисунок 3" descr="http://spvb.ru/press/img/rp200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vb.ru/press/img/rp2001_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428875"/>
                    </a:xfrm>
                    <a:prstGeom prst="rect">
                      <a:avLst/>
                    </a:prstGeom>
                    <a:noFill/>
                    <a:ln>
                      <a:noFill/>
                    </a:ln>
                  </pic:spPr>
                </pic:pic>
              </a:graphicData>
            </a:graphic>
          </wp:inline>
        </w:drawing>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 xml:space="preserve">В целях повышения надежности проведения расчетов по итогам торгов долларами США, в случае возникновения форс-мажорных обстоятельств в расчетном банке, СПВБ в сентябре 2001 года открыла резервный счет в </w:t>
      </w:r>
      <w:proofErr w:type="spellStart"/>
      <w:r w:rsidRPr="00831515">
        <w:rPr>
          <w:rFonts w:ascii="Times New Roman" w:eastAsia="Times New Roman" w:hAnsi="Times New Roman" w:cs="Times New Roman"/>
          <w:sz w:val="24"/>
          <w:szCs w:val="24"/>
          <w:lang w:eastAsia="ru-RU"/>
        </w:rPr>
        <w:t>Chase</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Manhattan</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Bank</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New</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York</w:t>
      </w:r>
      <w:proofErr w:type="spellEnd"/>
      <w:r w:rsidRPr="00831515">
        <w:rPr>
          <w:rFonts w:ascii="Times New Roman" w:eastAsia="Times New Roman" w:hAnsi="Times New Roman" w:cs="Times New Roman"/>
          <w:sz w:val="24"/>
          <w:szCs w:val="24"/>
          <w:lang w:eastAsia="ru-RU"/>
        </w:rPr>
        <w:t>.</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Рейтинг 10 лучших по оборотам участников торгов иностранной валютой на СПВБ по итогам 2001 года</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FF"/>
          <w:sz w:val="20"/>
          <w:szCs w:val="20"/>
          <w:lang w:eastAsia="ru-RU"/>
        </w:rPr>
        <w:t>1. ОАО "Промышленно-</w:t>
      </w:r>
      <w:r w:rsidRPr="00831515">
        <w:rPr>
          <w:rFonts w:ascii="Times New Roman" w:eastAsia="Times New Roman" w:hAnsi="Times New Roman" w:cs="Times New Roman"/>
          <w:b/>
          <w:bCs/>
          <w:color w:val="0000FF"/>
          <w:sz w:val="20"/>
          <w:szCs w:val="20"/>
          <w:lang w:eastAsia="ru-RU"/>
        </w:rPr>
        <w:t>строительный банк", (Санкт-Петербург)</w:t>
      </w:r>
      <w:r w:rsidRPr="00831515">
        <w:rPr>
          <w:rFonts w:ascii="Times New Roman" w:eastAsia="Times New Roman" w:hAnsi="Times New Roman" w:cs="Times New Roman"/>
          <w:b/>
          <w:bCs/>
          <w:color w:val="0000FF"/>
          <w:sz w:val="20"/>
          <w:szCs w:val="20"/>
          <w:lang w:eastAsia="ru-RU"/>
        </w:rPr>
        <w:br/>
        <w:t>2. ОАО "Альфа-Банк", (Москва)</w:t>
      </w:r>
      <w:r w:rsidRPr="00831515">
        <w:rPr>
          <w:rFonts w:ascii="Times New Roman" w:eastAsia="Times New Roman" w:hAnsi="Times New Roman" w:cs="Times New Roman"/>
          <w:b/>
          <w:bCs/>
          <w:color w:val="0000FF"/>
          <w:sz w:val="20"/>
          <w:szCs w:val="20"/>
          <w:lang w:eastAsia="ru-RU"/>
        </w:rPr>
        <w:br/>
        <w:t>3. ОАО "Петровский народный банк", (Санкт-Петербург)</w:t>
      </w:r>
      <w:r w:rsidRPr="00831515">
        <w:rPr>
          <w:rFonts w:ascii="Times New Roman" w:eastAsia="Times New Roman" w:hAnsi="Times New Roman" w:cs="Times New Roman"/>
          <w:b/>
          <w:bCs/>
          <w:color w:val="0000FF"/>
          <w:sz w:val="20"/>
          <w:szCs w:val="20"/>
          <w:lang w:eastAsia="ru-RU"/>
        </w:rPr>
        <w:br/>
        <w:t>4. ОАО "АКБ "МЕНАТЕП Санкт-Петербург", (Санкт-Петербург)</w:t>
      </w:r>
      <w:r w:rsidRPr="00831515">
        <w:rPr>
          <w:rFonts w:ascii="Times New Roman" w:eastAsia="Times New Roman" w:hAnsi="Times New Roman" w:cs="Times New Roman"/>
          <w:b/>
          <w:bCs/>
          <w:color w:val="0000FF"/>
          <w:sz w:val="20"/>
          <w:szCs w:val="20"/>
          <w:lang w:eastAsia="ru-RU"/>
        </w:rPr>
        <w:br/>
        <w:t>5. ОАО "Акционерный коммерческий Сберегательный банк Российской Федерации"</w:t>
      </w:r>
      <w:r w:rsidRPr="00831515">
        <w:rPr>
          <w:rFonts w:ascii="Times New Roman" w:eastAsia="Times New Roman" w:hAnsi="Times New Roman" w:cs="Times New Roman"/>
          <w:b/>
          <w:bCs/>
          <w:color w:val="0000FF"/>
          <w:sz w:val="20"/>
          <w:szCs w:val="20"/>
          <w:lang w:eastAsia="ru-RU"/>
        </w:rPr>
        <w:br/>
        <w:t>6. ЗАО "Балтийский Банк", (Санкт-Петербург)</w:t>
      </w:r>
      <w:r w:rsidRPr="00831515">
        <w:rPr>
          <w:rFonts w:ascii="Times New Roman" w:eastAsia="Times New Roman" w:hAnsi="Times New Roman" w:cs="Times New Roman"/>
          <w:b/>
          <w:bCs/>
          <w:color w:val="0000FF"/>
          <w:sz w:val="20"/>
          <w:szCs w:val="20"/>
          <w:lang w:eastAsia="ru-RU"/>
        </w:rPr>
        <w:br/>
        <w:t>7. ОАО "</w:t>
      </w:r>
      <w:proofErr w:type="spellStart"/>
      <w:r w:rsidRPr="00831515">
        <w:rPr>
          <w:rFonts w:ascii="Times New Roman" w:eastAsia="Times New Roman" w:hAnsi="Times New Roman" w:cs="Times New Roman"/>
          <w:b/>
          <w:bCs/>
          <w:color w:val="0000FF"/>
          <w:sz w:val="20"/>
          <w:szCs w:val="20"/>
          <w:lang w:eastAsia="ru-RU"/>
        </w:rPr>
        <w:t>Инкасбанк</w:t>
      </w:r>
      <w:proofErr w:type="spellEnd"/>
      <w:r w:rsidRPr="00831515">
        <w:rPr>
          <w:rFonts w:ascii="Times New Roman" w:eastAsia="Times New Roman" w:hAnsi="Times New Roman" w:cs="Times New Roman"/>
          <w:b/>
          <w:bCs/>
          <w:color w:val="0000FF"/>
          <w:sz w:val="20"/>
          <w:szCs w:val="20"/>
          <w:lang w:eastAsia="ru-RU"/>
        </w:rPr>
        <w:t>", (Санкт-Петербург)</w:t>
      </w:r>
      <w:r w:rsidRPr="00831515">
        <w:rPr>
          <w:rFonts w:ascii="Times New Roman" w:eastAsia="Times New Roman" w:hAnsi="Times New Roman" w:cs="Times New Roman"/>
          <w:b/>
          <w:bCs/>
          <w:color w:val="0000FF"/>
          <w:sz w:val="20"/>
          <w:szCs w:val="20"/>
          <w:lang w:eastAsia="ru-RU"/>
        </w:rPr>
        <w:br/>
        <w:t>8. ОАО "Международный банк Санкт-Петербурга", (Санкт-Петербург)</w:t>
      </w:r>
      <w:r w:rsidRPr="00831515">
        <w:rPr>
          <w:rFonts w:ascii="Times New Roman" w:eastAsia="Times New Roman" w:hAnsi="Times New Roman" w:cs="Times New Roman"/>
          <w:b/>
          <w:bCs/>
          <w:color w:val="0000FF"/>
          <w:sz w:val="20"/>
          <w:szCs w:val="20"/>
          <w:lang w:eastAsia="ru-RU"/>
        </w:rPr>
        <w:br/>
        <w:t xml:space="preserve">9. ОАО "Инвестиционный </w:t>
      </w:r>
      <w:proofErr w:type="spellStart"/>
      <w:r w:rsidRPr="00831515">
        <w:rPr>
          <w:rFonts w:ascii="Times New Roman" w:eastAsia="Times New Roman" w:hAnsi="Times New Roman" w:cs="Times New Roman"/>
          <w:b/>
          <w:bCs/>
          <w:color w:val="0000FF"/>
          <w:sz w:val="20"/>
          <w:szCs w:val="20"/>
          <w:lang w:eastAsia="ru-RU"/>
        </w:rPr>
        <w:t>Технохимбанк</w:t>
      </w:r>
      <w:proofErr w:type="spellEnd"/>
      <w:r w:rsidRPr="00831515">
        <w:rPr>
          <w:rFonts w:ascii="Times New Roman" w:eastAsia="Times New Roman" w:hAnsi="Times New Roman" w:cs="Times New Roman"/>
          <w:b/>
          <w:bCs/>
          <w:color w:val="0000FF"/>
          <w:sz w:val="20"/>
          <w:szCs w:val="20"/>
          <w:lang w:eastAsia="ru-RU"/>
        </w:rPr>
        <w:t>", (Санкт-Петербург)</w:t>
      </w:r>
      <w:r w:rsidRPr="00831515">
        <w:rPr>
          <w:rFonts w:ascii="Times New Roman" w:eastAsia="Times New Roman" w:hAnsi="Times New Roman" w:cs="Times New Roman"/>
          <w:b/>
          <w:bCs/>
          <w:color w:val="0000FF"/>
          <w:sz w:val="20"/>
          <w:szCs w:val="20"/>
          <w:lang w:eastAsia="ru-RU"/>
        </w:rPr>
        <w:br/>
        <w:t>10.ЗАО "Международный Московский Банк", (Москва)</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3.</w:t>
      </w:r>
      <w:bookmarkStart w:id="2" w:name="3"/>
      <w:bookmarkEnd w:id="2"/>
      <w:r w:rsidRPr="00831515">
        <w:rPr>
          <w:rFonts w:ascii="Times New Roman" w:eastAsia="Times New Roman" w:hAnsi="Times New Roman" w:cs="Times New Roman"/>
          <w:b/>
          <w:bCs/>
          <w:sz w:val="24"/>
          <w:szCs w:val="24"/>
          <w:lang w:eastAsia="ru-RU"/>
        </w:rPr>
        <w:t>РЫНОК ГОСУДАРСТВЕННЫХ ЦЕННЫХ БУМАГ</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Оборот участников торгов на рынке ГКО/ОФЗ, осуществляющих доступ через СПВБ, в 2001 году составил 10,45 млрд. руб., снизившись по отношению к 2000 году в 1,76 раза.</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Снижение оборота торгов в этом секторе рынка обусловлено ухудшением конъюнктуры рынка государственных ценных бумаг, снижением его ликвидности, доходности, и, как следствие, произошло смещение интересов участников торгов к проведению операций на смежных рынках, предоставляющих большие возможности для извлечения прибыли.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Сделки на рынке государственных ценных бумаг в течение 2001 года заключали 35 участников СПВБ: 29 банков и 6 инвестиционных компаний.</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Долевое участие в совокупном обороте по итогам 2001 года выглядит следующим образом: 70,3% - банки и филиалы банков в Санкт-Петербурге (в 2000 г. - 82,6%), 24,9% - региональные банки (14,3%), 0,9% - московские банки (1,3%), 3,9% - инвестиционные компании (1,8%).</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Изменение оборотов торгов участников, торгующих через СПВБ на рынке ГКО/ОФЗ, показано на рисунке.</w:t>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noProof/>
          <w:sz w:val="24"/>
          <w:szCs w:val="24"/>
          <w:lang w:eastAsia="ru-RU"/>
        </w:rPr>
        <w:drawing>
          <wp:inline distT="0" distB="0" distL="0" distR="0" wp14:anchorId="1280A6DB" wp14:editId="6C8DD92D">
            <wp:extent cx="4714875" cy="2219325"/>
            <wp:effectExtent l="0" t="0" r="9525" b="9525"/>
            <wp:docPr id="4" name="Рисунок 4" descr="http://spvb.ru/press/img/rp2001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vb.ru/press/img/rp2001_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2219325"/>
                    </a:xfrm>
                    <a:prstGeom prst="rect">
                      <a:avLst/>
                    </a:prstGeom>
                    <a:noFill/>
                    <a:ln>
                      <a:noFill/>
                    </a:ln>
                  </pic:spPr>
                </pic:pic>
              </a:graphicData>
            </a:graphic>
          </wp:inline>
        </w:drawing>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Рейтинг 10 лучших по оборотам участников торгов, торгующих через СПВБ на рынке государственных ценных бумаг, за 2001 год</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"Международный банк Санкт-Петербурга", (Санкт-Петербург)</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"Банк "Санкт-Петербург", (Санкт-Петербург)</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"Петровский народный банк", (Санкт-Петербург)</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"АКБ "МЕНАТЕП Санкт-Петербург", (Санкт-Петербург)</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АКБ "</w:t>
      </w:r>
      <w:proofErr w:type="spellStart"/>
      <w:r w:rsidRPr="00831515">
        <w:rPr>
          <w:rFonts w:ascii="Times New Roman" w:eastAsia="Times New Roman" w:hAnsi="Times New Roman" w:cs="Times New Roman"/>
          <w:b/>
          <w:bCs/>
          <w:color w:val="0000FF"/>
          <w:sz w:val="20"/>
          <w:szCs w:val="20"/>
          <w:lang w:eastAsia="ru-RU"/>
        </w:rPr>
        <w:t>Инвестбанк</w:t>
      </w:r>
      <w:proofErr w:type="spellEnd"/>
      <w:r w:rsidRPr="00831515">
        <w:rPr>
          <w:rFonts w:ascii="Times New Roman" w:eastAsia="Times New Roman" w:hAnsi="Times New Roman" w:cs="Times New Roman"/>
          <w:b/>
          <w:bCs/>
          <w:color w:val="0000FF"/>
          <w:sz w:val="20"/>
          <w:szCs w:val="20"/>
          <w:lang w:eastAsia="ru-RU"/>
        </w:rPr>
        <w:t>", (Калининград)</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"Волго-Каспийский Акционерный банк", (Астрахань)</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"Промышленно - строительный банк", (Санкт-Петербург)</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АБ "РОССИЯ", (Санкт-Петербург)</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АИБ “</w:t>
      </w:r>
      <w:proofErr w:type="spellStart"/>
      <w:r w:rsidRPr="00831515">
        <w:rPr>
          <w:rFonts w:ascii="Times New Roman" w:eastAsia="Times New Roman" w:hAnsi="Times New Roman" w:cs="Times New Roman"/>
          <w:b/>
          <w:bCs/>
          <w:color w:val="0000FF"/>
          <w:sz w:val="20"/>
          <w:szCs w:val="20"/>
          <w:lang w:eastAsia="ru-RU"/>
        </w:rPr>
        <w:t>Челябинвестбанк</w:t>
      </w:r>
      <w:proofErr w:type="spellEnd"/>
      <w:r w:rsidRPr="00831515">
        <w:rPr>
          <w:rFonts w:ascii="Times New Roman" w:eastAsia="Times New Roman" w:hAnsi="Times New Roman" w:cs="Times New Roman"/>
          <w:b/>
          <w:bCs/>
          <w:color w:val="0000FF"/>
          <w:sz w:val="20"/>
          <w:szCs w:val="20"/>
          <w:lang w:eastAsia="ru-RU"/>
        </w:rPr>
        <w:t>”, (Челябинск)</w:t>
      </w:r>
    </w:p>
    <w:p w:rsidR="00831515" w:rsidRPr="00831515" w:rsidRDefault="00831515" w:rsidP="008315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КБ "</w:t>
      </w:r>
      <w:proofErr w:type="spellStart"/>
      <w:r w:rsidRPr="00831515">
        <w:rPr>
          <w:rFonts w:ascii="Times New Roman" w:eastAsia="Times New Roman" w:hAnsi="Times New Roman" w:cs="Times New Roman"/>
          <w:b/>
          <w:bCs/>
          <w:color w:val="0000FF"/>
          <w:sz w:val="20"/>
          <w:szCs w:val="20"/>
          <w:lang w:eastAsia="ru-RU"/>
        </w:rPr>
        <w:t>Мончебанк</w:t>
      </w:r>
      <w:proofErr w:type="spellEnd"/>
      <w:r w:rsidRPr="00831515">
        <w:rPr>
          <w:rFonts w:ascii="Times New Roman" w:eastAsia="Times New Roman" w:hAnsi="Times New Roman" w:cs="Times New Roman"/>
          <w:b/>
          <w:bCs/>
          <w:color w:val="0000FF"/>
          <w:sz w:val="20"/>
          <w:szCs w:val="20"/>
          <w:lang w:eastAsia="ru-RU"/>
        </w:rPr>
        <w:t>", (Мурманск)</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4.</w:t>
      </w:r>
      <w:bookmarkStart w:id="3" w:name="4"/>
      <w:bookmarkEnd w:id="3"/>
      <w:r w:rsidRPr="00831515">
        <w:rPr>
          <w:rFonts w:ascii="Times New Roman" w:eastAsia="Times New Roman" w:hAnsi="Times New Roman" w:cs="Times New Roman"/>
          <w:b/>
          <w:bCs/>
          <w:sz w:val="24"/>
          <w:szCs w:val="24"/>
          <w:lang w:eastAsia="ru-RU"/>
        </w:rPr>
        <w:t>РЫНОК ЦЕННЫХ БУМАГ СУБЪЕКТОВ РОССИЙСКОЙ ФЕДЕРАЦИИ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Рынок ценных бумаг субъектов Российской Федерации на СПВБ в 2001 году был представлен государственными именными облигациями Санкт-Петербурга (ГИО), государственными именными облигациями Оренбургской области (ОГКО) и именными облигациями Республики Коми.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Оборот торгов с облигациями субъектов Российской Федерации на СПВБ в 2001 году с учетом первичного размещения на аукционах, вторичного обращения на рынке, исполнения форвардных контрактов и сделок </w:t>
      </w:r>
      <w:proofErr w:type="spellStart"/>
      <w:r w:rsidRPr="00831515">
        <w:rPr>
          <w:rFonts w:ascii="Times New Roman" w:eastAsia="Times New Roman" w:hAnsi="Times New Roman" w:cs="Times New Roman"/>
          <w:sz w:val="24"/>
          <w:szCs w:val="24"/>
          <w:lang w:eastAsia="ru-RU"/>
        </w:rPr>
        <w:t>репо</w:t>
      </w:r>
      <w:proofErr w:type="spellEnd"/>
      <w:r w:rsidRPr="00831515">
        <w:rPr>
          <w:rFonts w:ascii="Times New Roman" w:eastAsia="Times New Roman" w:hAnsi="Times New Roman" w:cs="Times New Roman"/>
          <w:color w:val="FF0000"/>
          <w:sz w:val="24"/>
          <w:szCs w:val="24"/>
          <w:lang w:eastAsia="ru-RU"/>
        </w:rPr>
        <w:t xml:space="preserve"> </w:t>
      </w:r>
      <w:r w:rsidRPr="00831515">
        <w:rPr>
          <w:rFonts w:ascii="Times New Roman" w:eastAsia="Times New Roman" w:hAnsi="Times New Roman" w:cs="Times New Roman"/>
          <w:sz w:val="24"/>
          <w:szCs w:val="24"/>
          <w:lang w:eastAsia="ru-RU"/>
        </w:rPr>
        <w:t>составил 45,16 млрд. руб., увеличившись по отношению к 2000 году в 1,24 раза. Было заключено 53049 сделок.</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сегменте рынка ценных бумаг субъектов Федерации СПВБ занимает ведущее место в России, что связано с прочными традициями организации обращения региональных займов и наличием значительного числа участников торгов и их клиентов, предпочитающих совершать операции на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Также, необходимо отметить значительный рост в общем объеме операций с облигациями субъектов Российской Федерации биржевых сделок </w:t>
      </w:r>
      <w:proofErr w:type="spellStart"/>
      <w:r w:rsidRPr="00831515">
        <w:rPr>
          <w:rFonts w:ascii="Times New Roman" w:eastAsia="Times New Roman" w:hAnsi="Times New Roman" w:cs="Times New Roman"/>
          <w:sz w:val="24"/>
          <w:szCs w:val="24"/>
          <w:lang w:eastAsia="ru-RU"/>
        </w:rPr>
        <w:t>репо</w:t>
      </w:r>
      <w:proofErr w:type="spellEnd"/>
      <w:r w:rsidRPr="00831515">
        <w:rPr>
          <w:rFonts w:ascii="Times New Roman" w:eastAsia="Times New Roman" w:hAnsi="Times New Roman" w:cs="Times New Roman"/>
          <w:sz w:val="24"/>
          <w:szCs w:val="24"/>
          <w:lang w:eastAsia="ru-RU"/>
        </w:rPr>
        <w:t>, что свидетельствует о том, что участниками рынка по достоинству оценены технологические преимущества, предоставляемые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2001 году СПВБ реализован доступ к участию в торгах облигациями субъектов Федерации по технологии интернет - шлюзов, что также способствовало росту активности операций этом секторе деятельности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Сделки с ГИО Санкт-Петербурга составили 98,89% совокупного оборота торгов облигациями субъектов Федерации, сделки с ОГКО Оренбургской области – 0,80% и сделки с облигациями Республики Коми – 0,31%.</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Также в течение 2001 года на СПВБ проводились операции по погашению облигаций Омской области.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В структуре оборота с ГИО Санкт-Петербурга, составившего в 2001 году 44,659 млрд. руб., существенную долю составили сделки </w:t>
      </w:r>
      <w:proofErr w:type="spellStart"/>
      <w:r w:rsidRPr="00831515">
        <w:rPr>
          <w:rFonts w:ascii="Times New Roman" w:eastAsia="Times New Roman" w:hAnsi="Times New Roman" w:cs="Times New Roman"/>
          <w:sz w:val="24"/>
          <w:szCs w:val="24"/>
          <w:lang w:eastAsia="ru-RU"/>
        </w:rPr>
        <w:t>репо</w:t>
      </w:r>
      <w:proofErr w:type="spellEnd"/>
      <w:r w:rsidRPr="00831515">
        <w:rPr>
          <w:rFonts w:ascii="Times New Roman" w:eastAsia="Times New Roman" w:hAnsi="Times New Roman" w:cs="Times New Roman"/>
          <w:sz w:val="24"/>
          <w:szCs w:val="24"/>
          <w:lang w:eastAsia="ru-RU"/>
        </w:rPr>
        <w:t xml:space="preserve"> - 53,8%, на вторичное обращение пришлось 34,61% оборота, на первичное размещение на аукционах – 8,80% и на сделки по исполнению форвардных контрактов – 2,78%.</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В 2001 году сделки с облигациями субъектов Федерации на СПВБ заключали 25 банков и 14 инвестиционных компаний.</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Обращение облигаций субъектов Федерации на СПВБ обслуживали в части расчетов по ценным бумагам Санкт-Петербургский расчетно-депозитарный центр (РДЦ) и </w:t>
      </w:r>
      <w:proofErr w:type="spellStart"/>
      <w:r w:rsidRPr="00831515">
        <w:rPr>
          <w:rFonts w:ascii="Times New Roman" w:eastAsia="Times New Roman" w:hAnsi="Times New Roman" w:cs="Times New Roman"/>
          <w:sz w:val="24"/>
          <w:szCs w:val="24"/>
          <w:lang w:eastAsia="ru-RU"/>
        </w:rPr>
        <w:t>Депозитарно</w:t>
      </w:r>
      <w:proofErr w:type="spellEnd"/>
      <w:r w:rsidRPr="00831515">
        <w:rPr>
          <w:rFonts w:ascii="Times New Roman" w:eastAsia="Times New Roman" w:hAnsi="Times New Roman" w:cs="Times New Roman"/>
          <w:sz w:val="24"/>
          <w:szCs w:val="24"/>
          <w:lang w:eastAsia="ru-RU"/>
        </w:rPr>
        <w:t xml:space="preserve"> - клиринговая компания (ДКК).</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Изменение оборота торгов облигациями субъектов Российской Федерации на СПВБ показано на рисунке.</w:t>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noProof/>
          <w:sz w:val="24"/>
          <w:szCs w:val="24"/>
          <w:lang w:eastAsia="ru-RU"/>
        </w:rPr>
        <w:drawing>
          <wp:inline distT="0" distB="0" distL="0" distR="0" wp14:anchorId="757DE365" wp14:editId="79899997">
            <wp:extent cx="4838700" cy="2600325"/>
            <wp:effectExtent l="0" t="0" r="0" b="9525"/>
            <wp:docPr id="5" name="Рисунок 5" descr="http://spvb.ru/press/img/rp2001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vb.ru/press/img/rp2001_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2600325"/>
                    </a:xfrm>
                    <a:prstGeom prst="rect">
                      <a:avLst/>
                    </a:prstGeom>
                    <a:noFill/>
                    <a:ln>
                      <a:noFill/>
                    </a:ln>
                  </pic:spPr>
                </pic:pic>
              </a:graphicData>
            </a:graphic>
          </wp:inline>
        </w:drawing>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Рейтинг 10 лучших дилеров облигаций субъектов Российской Федерации на СПВБ по оборотам за 2001 год</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"ИК АВК", (Санкт-Петербург)</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"Международный банк Санкт-Петербурга", (Санкт-Петербург)</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"Промышленно-строительный банк", (Санкт-Петербург)</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"КБ "БАЛТОНЭКСИМ Банк", (Санкт-Петербург)</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"Банк "Санкт-Петербург", (Санкт-Петербург)</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"Акционерный коммерческий Сберегательный банк Российской Федерации"</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w:t>
      </w:r>
      <w:proofErr w:type="spellStart"/>
      <w:r w:rsidRPr="00831515">
        <w:rPr>
          <w:rFonts w:ascii="Times New Roman" w:eastAsia="Times New Roman" w:hAnsi="Times New Roman" w:cs="Times New Roman"/>
          <w:b/>
          <w:bCs/>
          <w:color w:val="0000FF"/>
          <w:sz w:val="20"/>
          <w:szCs w:val="20"/>
          <w:lang w:eastAsia="ru-RU"/>
        </w:rPr>
        <w:t>Вэб-инвест</w:t>
      </w:r>
      <w:proofErr w:type="gramStart"/>
      <w:r w:rsidRPr="00831515">
        <w:rPr>
          <w:rFonts w:ascii="Times New Roman" w:eastAsia="Times New Roman" w:hAnsi="Times New Roman" w:cs="Times New Roman"/>
          <w:b/>
          <w:bCs/>
          <w:color w:val="0000FF"/>
          <w:sz w:val="20"/>
          <w:szCs w:val="20"/>
          <w:lang w:eastAsia="ru-RU"/>
        </w:rPr>
        <w:t>.р</w:t>
      </w:r>
      <w:proofErr w:type="gramEnd"/>
      <w:r w:rsidRPr="00831515">
        <w:rPr>
          <w:rFonts w:ascii="Times New Roman" w:eastAsia="Times New Roman" w:hAnsi="Times New Roman" w:cs="Times New Roman"/>
          <w:b/>
          <w:bCs/>
          <w:color w:val="0000FF"/>
          <w:sz w:val="20"/>
          <w:szCs w:val="20"/>
          <w:lang w:eastAsia="ru-RU"/>
        </w:rPr>
        <w:t>у</w:t>
      </w:r>
      <w:proofErr w:type="spellEnd"/>
      <w:r w:rsidRPr="00831515">
        <w:rPr>
          <w:rFonts w:ascii="Times New Roman" w:eastAsia="Times New Roman" w:hAnsi="Times New Roman" w:cs="Times New Roman"/>
          <w:b/>
          <w:bCs/>
          <w:color w:val="0000FF"/>
          <w:sz w:val="20"/>
          <w:szCs w:val="20"/>
          <w:lang w:eastAsia="ru-RU"/>
        </w:rPr>
        <w:t>", (Санкт-Петербург)</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"Всероссийский банк развития регионов", (Москва)</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"Петровский народный банк", (Санкт-Петербург)</w:t>
      </w:r>
    </w:p>
    <w:p w:rsidR="00831515" w:rsidRPr="00831515" w:rsidRDefault="00831515" w:rsidP="008315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АКБ "Национальный резервный банк", (Москва)</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5.</w:t>
      </w:r>
      <w:bookmarkStart w:id="4" w:name="5"/>
      <w:bookmarkEnd w:id="4"/>
      <w:r w:rsidRPr="00831515">
        <w:rPr>
          <w:rFonts w:ascii="Times New Roman" w:eastAsia="Times New Roman" w:hAnsi="Times New Roman" w:cs="Times New Roman"/>
          <w:b/>
          <w:bCs/>
          <w:sz w:val="24"/>
          <w:szCs w:val="24"/>
          <w:lang w:eastAsia="ru-RU"/>
        </w:rPr>
        <w:t>РЫНОК КОРПОРАТИВНЫХ ЦЕННЫХ БУМАГ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5.1 Акции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Рынок акций на СПВБ в 2001 году был представлен 77 акциями 55 эмитентов, однако сделки совершались лишь по 34 акциям. К концу 2001 года, в результате исключения из обращения </w:t>
      </w:r>
      <w:proofErr w:type="spellStart"/>
      <w:r w:rsidRPr="00831515">
        <w:rPr>
          <w:rFonts w:ascii="Times New Roman" w:eastAsia="Times New Roman" w:hAnsi="Times New Roman" w:cs="Times New Roman"/>
          <w:sz w:val="24"/>
          <w:szCs w:val="24"/>
          <w:lang w:eastAsia="ru-RU"/>
        </w:rPr>
        <w:t>низколиквидных</w:t>
      </w:r>
      <w:proofErr w:type="spellEnd"/>
      <w:r w:rsidRPr="00831515">
        <w:rPr>
          <w:rFonts w:ascii="Times New Roman" w:eastAsia="Times New Roman" w:hAnsi="Times New Roman" w:cs="Times New Roman"/>
          <w:sz w:val="24"/>
          <w:szCs w:val="24"/>
          <w:lang w:eastAsia="ru-RU"/>
        </w:rPr>
        <w:t xml:space="preserve"> ценных бумаг, к торгам на СПВБ было допущено 55 акций 38 эмитентов.</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Для повышения привлекательности рынка акций на СПВБ предпринимались различные организационные меры. Так, в 2001 году, СПВБ, Петербургский расчетный центр и ДКК согласовали регламент взаимодействия, позволяющий продлить торги в фондовой секции </w:t>
      </w:r>
      <w:r w:rsidRPr="00831515">
        <w:rPr>
          <w:rFonts w:ascii="Times New Roman" w:eastAsia="Times New Roman" w:hAnsi="Times New Roman" w:cs="Times New Roman"/>
          <w:sz w:val="24"/>
          <w:szCs w:val="24"/>
          <w:lang w:eastAsia="ru-RU"/>
        </w:rPr>
        <w:lastRenderedPageBreak/>
        <w:t>СПВБ до 23-55. Однако</w:t>
      </w:r>
      <w:proofErr w:type="gramStart"/>
      <w:r w:rsidRPr="00831515">
        <w:rPr>
          <w:rFonts w:ascii="Times New Roman" w:eastAsia="Times New Roman" w:hAnsi="Times New Roman" w:cs="Times New Roman"/>
          <w:sz w:val="24"/>
          <w:szCs w:val="24"/>
          <w:lang w:eastAsia="ru-RU"/>
        </w:rPr>
        <w:t>,</w:t>
      </w:r>
      <w:proofErr w:type="gramEnd"/>
      <w:r w:rsidRPr="00831515">
        <w:rPr>
          <w:rFonts w:ascii="Times New Roman" w:eastAsia="Times New Roman" w:hAnsi="Times New Roman" w:cs="Times New Roman"/>
          <w:sz w:val="24"/>
          <w:szCs w:val="24"/>
          <w:lang w:eastAsia="ru-RU"/>
        </w:rPr>
        <w:t xml:space="preserve"> ощутимых результатов это не принесло, в результате чего время окончания торгов было сокращено до 18 часов.</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1515">
        <w:rPr>
          <w:rFonts w:ascii="Times New Roman" w:eastAsia="Times New Roman" w:hAnsi="Times New Roman" w:cs="Times New Roman"/>
          <w:sz w:val="24"/>
          <w:szCs w:val="24"/>
          <w:lang w:eastAsia="ru-RU"/>
        </w:rPr>
        <w:t>Вместе с тем, динамика объема торгов в секции фондового рынка ММВБ, услуги по доступу к которым предоставляет СПВБ, а также показатели деятельности остальных российских бирж, отражают процесс централизации в Москве российского рынка акций ведущих национальных компаний (“голубых фишек”) и, соответственно, снижение интереса участников торгов к региональным торговым площадкам, предлагающим аналогичные услуги.</w:t>
      </w:r>
      <w:proofErr w:type="gramEnd"/>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Оборот торгов акциями на СПВБ в 2001 году составил 830,1 млн. руб., снизившись по отношению к 2000 году в 3,3 раза. В 2001 году было заключено 7198 сделок с 34 видами акций.</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Сделки в 2001 году заключали 37 участников: 22 банка и 15 инвестиционных компаний.</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Доля акций в обороте торгов акциями на СПВБ в 2001 году составила: обыкновенные акции РАО “ЕЭС России” – 68,68%, обыкновенные акции ОАО “Сургутнефтегаз” - 16,31%, обыкновенные акции НК “ЛУКОЙЛ” и Сбербанка - по 2,85%.</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Рейтинг 10 лучших участников торгов акциями на СПВБ по оборотам за 2001 год</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"ИК "</w:t>
      </w:r>
      <w:proofErr w:type="spellStart"/>
      <w:r w:rsidRPr="00831515">
        <w:rPr>
          <w:rFonts w:ascii="Times New Roman" w:eastAsia="Times New Roman" w:hAnsi="Times New Roman" w:cs="Times New Roman"/>
          <w:b/>
          <w:bCs/>
          <w:color w:val="0000FF"/>
          <w:sz w:val="20"/>
          <w:szCs w:val="20"/>
          <w:lang w:eastAsia="ru-RU"/>
        </w:rPr>
        <w:t>Элтра</w:t>
      </w:r>
      <w:proofErr w:type="spellEnd"/>
      <w:r w:rsidRPr="00831515">
        <w:rPr>
          <w:rFonts w:ascii="Times New Roman" w:eastAsia="Times New Roman" w:hAnsi="Times New Roman" w:cs="Times New Roman"/>
          <w:b/>
          <w:bCs/>
          <w:color w:val="0000FF"/>
          <w:sz w:val="20"/>
          <w:szCs w:val="20"/>
          <w:lang w:eastAsia="ru-RU"/>
        </w:rPr>
        <w:t>", (Санкт-Петербург)</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"ИК "Энергокапитал", (Санкт-Петербург)</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"Петровский народный банк", (Санкт-Петербург)</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"Акционерный коммерческий Сберегательный банк Российской Федерации"</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"Промышленно-строительный банк", (Санкт-Петербург)</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"Балтийское Финансовое Агентство", (Санкт-Петербург)</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"Международный банк Санкт-Петербурга", (Санкт-Петербург)</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"Балтийская Финансовая Компания", (Санкт-Петербург)</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"Банк "Санкт-Петербург", (Санкт-Петербург)</w:t>
      </w:r>
    </w:p>
    <w:p w:rsidR="00831515" w:rsidRPr="00831515" w:rsidRDefault="00831515" w:rsidP="008315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Банк энергетического машиностроения "</w:t>
      </w:r>
      <w:proofErr w:type="spellStart"/>
      <w:r w:rsidRPr="00831515">
        <w:rPr>
          <w:rFonts w:ascii="Times New Roman" w:eastAsia="Times New Roman" w:hAnsi="Times New Roman" w:cs="Times New Roman"/>
          <w:b/>
          <w:bCs/>
          <w:color w:val="0000FF"/>
          <w:sz w:val="20"/>
          <w:szCs w:val="20"/>
          <w:lang w:eastAsia="ru-RU"/>
        </w:rPr>
        <w:t>Энергомашбанк</w:t>
      </w:r>
      <w:proofErr w:type="spellEnd"/>
      <w:r w:rsidRPr="00831515">
        <w:rPr>
          <w:rFonts w:ascii="Times New Roman" w:eastAsia="Times New Roman" w:hAnsi="Times New Roman" w:cs="Times New Roman"/>
          <w:b/>
          <w:bCs/>
          <w:color w:val="0000FF"/>
          <w:sz w:val="20"/>
          <w:szCs w:val="20"/>
          <w:lang w:eastAsia="ru-RU"/>
        </w:rPr>
        <w:t>", (Санкт-Петербург)</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5.2 Корпоративные облигации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2001 году на СПВБ началось размещение и обращение банковских облигаций и облигаций предприятий (корпоративных облигаций). Помимо первичного размещения, на СПВБ было организовано вторичное обращения облигаций ряда эмитентов.</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6 июня 2001 года состоялось первое размещение корпоративных облигаций на СПВБ - корпоративных облигаций ОАО “Международный банк Санкт-Петербурга”.</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Оборот торгов корпоративными облигациями на СПВБ в 2001 году составил 1000,8 млн. руб. Было заключено 210 сделок с корпоративными облигациями ОАО "Международный банк Санкт-Петербурга", ОАО "Пекарь"</w:t>
      </w:r>
      <w:r w:rsidRPr="00831515">
        <w:rPr>
          <w:rFonts w:ascii="Times New Roman" w:eastAsia="Times New Roman" w:hAnsi="Times New Roman" w:cs="Times New Roman"/>
          <w:color w:val="808000"/>
          <w:sz w:val="24"/>
          <w:szCs w:val="24"/>
          <w:lang w:eastAsia="ru-RU"/>
        </w:rPr>
        <w:t xml:space="preserve">, </w:t>
      </w:r>
      <w:r w:rsidRPr="00831515">
        <w:rPr>
          <w:rFonts w:ascii="Times New Roman" w:eastAsia="Times New Roman" w:hAnsi="Times New Roman" w:cs="Times New Roman"/>
          <w:sz w:val="24"/>
          <w:szCs w:val="24"/>
          <w:lang w:eastAsia="ru-RU"/>
        </w:rPr>
        <w:t>ОАО "Мурманское морское пароходство" и ОАО "Магнитогорский металлургический комбинат".</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Совокупный оборот торгов распределился следующим образом: 83,3% - сделки с корпоративными облигациями ОАО "Международный банк Санкт-Петербурга", 12,95% - с корпоративными облигациями ОАО "Пекарь", 2,80% - с корпоративными облигациями ОАО "Мурманское морское пароходство" и 0,95% - с корпоративными облигациями ОАО "Магнитогорский металлургический комбинат".</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Сделки в 2001 году заключал 21 участник: 12 банков и 9 инвестиционных компаний.</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Рейтинг 10 лучших участников торгов корпоративными облигациями на СПВБ по оборотам за 2001 год</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"Международный банк Санкт-Петербурга", (Санкт-Петербург)</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"Промышленно-строительный банк", (Санкт-Петербург)</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"Петровский народный банк", (Санкт-Петербург)</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"Банк "Санкт-Петербург", (Санкт-Петербург)</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"ИК АВК", (Санкт-Петербург)</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"АКБ "МЕНАТЕП Санкт-Петербург", (Санкт-Петербург)</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"ИМПЭКСБАНК", (Москва)</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"АВК-ценные бумаги", (Санкт-Петербург)</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"Балтийское Финансовое Агентство", (Санкт-Петербург)</w:t>
      </w:r>
    </w:p>
    <w:p w:rsidR="00831515" w:rsidRPr="00831515" w:rsidRDefault="00831515" w:rsidP="008315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"Балтийский Банк", (Санкт-Петербург)</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Изменение оборотов торгов корпоративными ценными бумагами на СПВБ в 2001 году показано на рисунке.</w:t>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noProof/>
          <w:sz w:val="24"/>
          <w:szCs w:val="24"/>
          <w:lang w:eastAsia="ru-RU"/>
        </w:rPr>
        <w:drawing>
          <wp:inline distT="0" distB="0" distL="0" distR="0" wp14:anchorId="49D1E5CB" wp14:editId="14696F18">
            <wp:extent cx="4257675" cy="2409825"/>
            <wp:effectExtent l="0" t="0" r="9525" b="9525"/>
            <wp:docPr id="6" name="Рисунок 6" descr="http://spvb.ru/press/img/rp200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vb.ru/press/img/rp2001_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2409825"/>
                    </a:xfrm>
                    <a:prstGeom prst="rect">
                      <a:avLst/>
                    </a:prstGeom>
                    <a:noFill/>
                    <a:ln>
                      <a:noFill/>
                    </a:ln>
                  </pic:spPr>
                </pic:pic>
              </a:graphicData>
            </a:graphic>
          </wp:inline>
        </w:drawing>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6.</w:t>
      </w:r>
      <w:bookmarkStart w:id="5" w:name="6"/>
      <w:bookmarkEnd w:id="5"/>
      <w:r>
        <w:rPr>
          <w:rFonts w:ascii="Times New Roman" w:eastAsia="Times New Roman" w:hAnsi="Times New Roman" w:cs="Times New Roman"/>
          <w:b/>
          <w:bCs/>
          <w:sz w:val="24"/>
          <w:szCs w:val="24"/>
          <w:lang w:eastAsia="ru-RU"/>
        </w:rPr>
        <w:t xml:space="preserve"> </w:t>
      </w:r>
      <w:r w:rsidRPr="00831515">
        <w:rPr>
          <w:rFonts w:ascii="Times New Roman" w:eastAsia="Times New Roman" w:hAnsi="Times New Roman" w:cs="Times New Roman"/>
          <w:b/>
          <w:bCs/>
          <w:sz w:val="24"/>
          <w:szCs w:val="24"/>
          <w:lang w:eastAsia="ru-RU"/>
        </w:rPr>
        <w:t>ТОРГИ В СЕКЦИИ ФОНДОВОГО РЫНКА ММВБ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СПВБ является представителем ММВБ по организации доступа к торгам в секции фондового рынка ММВБ.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Совокупный оборот торгов участников рынка, работавших через СПВБ в секции фондового рынка ММВБ в 2001 году, составил 65,977 млрд. руб., увеличившись по отношению к 2000 году в 1,77 раза.</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2001 году сделки в фондовой секции ММВБ заключали 26 участников торгов, использовавших доступ через СПВБ: 14 банков и 12 инвестиционных компаний. В совокупном обороте торгов 30,0% составили сделки, заключенные банками и 70,0% - инвестиционными компаниями.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Изменение </w:t>
      </w:r>
      <w:proofErr w:type="gramStart"/>
      <w:r w:rsidRPr="00831515">
        <w:rPr>
          <w:rFonts w:ascii="Times New Roman" w:eastAsia="Times New Roman" w:hAnsi="Times New Roman" w:cs="Times New Roman"/>
          <w:sz w:val="24"/>
          <w:szCs w:val="24"/>
          <w:lang w:eastAsia="ru-RU"/>
        </w:rPr>
        <w:t>оборотов торгов участников секции фондового рынка</w:t>
      </w:r>
      <w:proofErr w:type="gramEnd"/>
      <w:r w:rsidRPr="00831515">
        <w:rPr>
          <w:rFonts w:ascii="Times New Roman" w:eastAsia="Times New Roman" w:hAnsi="Times New Roman" w:cs="Times New Roman"/>
          <w:sz w:val="24"/>
          <w:szCs w:val="24"/>
          <w:lang w:eastAsia="ru-RU"/>
        </w:rPr>
        <w:t xml:space="preserve"> ММВБ, осуществлявших доступ к торгам через СПВБ в 2001 году, показано на рисунке.</w:t>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noProof/>
          <w:sz w:val="24"/>
          <w:szCs w:val="24"/>
          <w:lang w:eastAsia="ru-RU"/>
        </w:rPr>
        <w:lastRenderedPageBreak/>
        <w:drawing>
          <wp:inline distT="0" distB="0" distL="0" distR="0" wp14:anchorId="311C6C61" wp14:editId="2A768BBF">
            <wp:extent cx="4695825" cy="2905125"/>
            <wp:effectExtent l="0" t="0" r="9525" b="9525"/>
            <wp:docPr id="7" name="Рисунок 7" descr="http://spvb.ru/press/img/rp2001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vb.ru/press/img/rp2001_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5825" cy="2905125"/>
                    </a:xfrm>
                    <a:prstGeom prst="rect">
                      <a:avLst/>
                    </a:prstGeom>
                    <a:noFill/>
                    <a:ln>
                      <a:noFill/>
                    </a:ln>
                  </pic:spPr>
                </pic:pic>
              </a:graphicData>
            </a:graphic>
          </wp:inline>
        </w:drawing>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Рейтинг участников фондовой секции ММВБ, осуществлявших доступ к торгам через СПВБ, по оборотам за 2001 год</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"Промышленно-строительный банк",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w:t>
      </w:r>
      <w:proofErr w:type="spellStart"/>
      <w:r w:rsidRPr="00831515">
        <w:rPr>
          <w:rFonts w:ascii="Times New Roman" w:eastAsia="Times New Roman" w:hAnsi="Times New Roman" w:cs="Times New Roman"/>
          <w:b/>
          <w:bCs/>
          <w:color w:val="0000FF"/>
          <w:sz w:val="20"/>
          <w:szCs w:val="20"/>
          <w:lang w:eastAsia="ru-RU"/>
        </w:rPr>
        <w:t>Вэб-инвест</w:t>
      </w:r>
      <w:proofErr w:type="gramStart"/>
      <w:r w:rsidRPr="00831515">
        <w:rPr>
          <w:rFonts w:ascii="Times New Roman" w:eastAsia="Times New Roman" w:hAnsi="Times New Roman" w:cs="Times New Roman"/>
          <w:b/>
          <w:bCs/>
          <w:color w:val="0000FF"/>
          <w:sz w:val="20"/>
          <w:szCs w:val="20"/>
          <w:lang w:eastAsia="ru-RU"/>
        </w:rPr>
        <w:t>.р</w:t>
      </w:r>
      <w:proofErr w:type="gramEnd"/>
      <w:r w:rsidRPr="00831515">
        <w:rPr>
          <w:rFonts w:ascii="Times New Roman" w:eastAsia="Times New Roman" w:hAnsi="Times New Roman" w:cs="Times New Roman"/>
          <w:b/>
          <w:bCs/>
          <w:color w:val="0000FF"/>
          <w:sz w:val="20"/>
          <w:szCs w:val="20"/>
          <w:lang w:eastAsia="ru-RU"/>
        </w:rPr>
        <w:t>у</w:t>
      </w:r>
      <w:proofErr w:type="spellEnd"/>
      <w:r w:rsidRPr="00831515">
        <w:rPr>
          <w:rFonts w:ascii="Times New Roman" w:eastAsia="Times New Roman" w:hAnsi="Times New Roman" w:cs="Times New Roman"/>
          <w:b/>
          <w:bCs/>
          <w:color w:val="0000FF"/>
          <w:sz w:val="20"/>
          <w:szCs w:val="20"/>
          <w:lang w:eastAsia="ru-RU"/>
        </w:rPr>
        <w:t>",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"БФ "</w:t>
      </w:r>
      <w:proofErr w:type="spellStart"/>
      <w:r w:rsidRPr="00831515">
        <w:rPr>
          <w:rFonts w:ascii="Times New Roman" w:eastAsia="Times New Roman" w:hAnsi="Times New Roman" w:cs="Times New Roman"/>
          <w:b/>
          <w:bCs/>
          <w:color w:val="0000FF"/>
          <w:sz w:val="20"/>
          <w:szCs w:val="20"/>
          <w:lang w:eastAsia="ru-RU"/>
        </w:rPr>
        <w:t>Ленстройматериалы</w:t>
      </w:r>
      <w:proofErr w:type="spellEnd"/>
      <w:r w:rsidRPr="00831515">
        <w:rPr>
          <w:rFonts w:ascii="Times New Roman" w:eastAsia="Times New Roman" w:hAnsi="Times New Roman" w:cs="Times New Roman"/>
          <w:b/>
          <w:bCs/>
          <w:color w:val="0000FF"/>
          <w:sz w:val="20"/>
          <w:szCs w:val="20"/>
          <w:lang w:eastAsia="ru-RU"/>
        </w:rPr>
        <w:t>",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"Балтийское Финансовое Агентство",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"ИК "</w:t>
      </w:r>
      <w:proofErr w:type="spellStart"/>
      <w:r w:rsidRPr="00831515">
        <w:rPr>
          <w:rFonts w:ascii="Times New Roman" w:eastAsia="Times New Roman" w:hAnsi="Times New Roman" w:cs="Times New Roman"/>
          <w:b/>
          <w:bCs/>
          <w:color w:val="0000FF"/>
          <w:sz w:val="20"/>
          <w:szCs w:val="20"/>
          <w:lang w:eastAsia="ru-RU"/>
        </w:rPr>
        <w:t>Элтра</w:t>
      </w:r>
      <w:proofErr w:type="spellEnd"/>
      <w:r w:rsidRPr="00831515">
        <w:rPr>
          <w:rFonts w:ascii="Times New Roman" w:eastAsia="Times New Roman" w:hAnsi="Times New Roman" w:cs="Times New Roman"/>
          <w:b/>
          <w:bCs/>
          <w:color w:val="0000FF"/>
          <w:sz w:val="20"/>
          <w:szCs w:val="20"/>
          <w:lang w:eastAsia="ru-RU"/>
        </w:rPr>
        <w:t>",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"ИФК "Четвертое измерение",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"Балтийская Финансовая Компания",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"ИК "Энергокапитал",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"ИК АВК", (Санкт-Петербург)</w:t>
      </w:r>
    </w:p>
    <w:p w:rsidR="00831515" w:rsidRPr="00831515" w:rsidRDefault="00831515" w:rsidP="008315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"ИК "Нева-Инвест", (Санкт-Петербург)</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7.</w:t>
      </w:r>
      <w:bookmarkStart w:id="6" w:name="7"/>
      <w:bookmarkEnd w:id="6"/>
      <w:r w:rsidRPr="00831515">
        <w:rPr>
          <w:rFonts w:ascii="Times New Roman" w:eastAsia="Times New Roman" w:hAnsi="Times New Roman" w:cs="Times New Roman"/>
          <w:b/>
          <w:bCs/>
          <w:sz w:val="24"/>
          <w:szCs w:val="24"/>
          <w:lang w:eastAsia="ru-RU"/>
        </w:rPr>
        <w:t>ТОРГИ В СЕКЦИИ СТАНДАРТНЫХ КОНТРАКТОВ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течение 2001 года сделки в Секции стандартных контрактов СПВБ совершались 17 участниками. Число членов Секции увеличилось с 22 до 42.</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В I квартале 2001 года были начаты торги фьючерсными контрактами на курс акций ОАО “ГАЗПРОМ”, а также </w:t>
      </w:r>
      <w:proofErr w:type="spellStart"/>
      <w:r w:rsidRPr="00831515">
        <w:rPr>
          <w:rFonts w:ascii="Times New Roman" w:eastAsia="Times New Roman" w:hAnsi="Times New Roman" w:cs="Times New Roman"/>
          <w:sz w:val="24"/>
          <w:szCs w:val="24"/>
          <w:lang w:eastAsia="ru-RU"/>
        </w:rPr>
        <w:t>роллинговыми</w:t>
      </w:r>
      <w:proofErr w:type="spellEnd"/>
      <w:r w:rsidRPr="00831515">
        <w:rPr>
          <w:rFonts w:ascii="Times New Roman" w:eastAsia="Times New Roman" w:hAnsi="Times New Roman" w:cs="Times New Roman"/>
          <w:sz w:val="24"/>
          <w:szCs w:val="24"/>
          <w:lang w:eastAsia="ru-RU"/>
        </w:rPr>
        <w:t xml:space="preserve"> фьючерсными контрактами на курс доллара США, на курс евро, курс акций ОАО “РАО “ЕЭС России”, курс акций ОАО “ГАЗПРОМ”.</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Основные итоги торгов в 2001 году в Секции стандартных контрактов СПВБ представлены в таблице.</w:t>
      </w:r>
    </w:p>
    <w:tbl>
      <w:tblPr>
        <w:tblW w:w="7815" w:type="dxa"/>
        <w:jc w:val="center"/>
        <w:tblCellSpacing w:w="7" w:type="dxa"/>
        <w:tblCellMar>
          <w:top w:w="15" w:type="dxa"/>
          <w:left w:w="15" w:type="dxa"/>
          <w:bottom w:w="15" w:type="dxa"/>
          <w:right w:w="15" w:type="dxa"/>
        </w:tblCellMar>
        <w:tblLook w:val="04A0" w:firstRow="1" w:lastRow="0" w:firstColumn="1" w:lastColumn="0" w:noHBand="0" w:noVBand="1"/>
      </w:tblPr>
      <w:tblGrid>
        <w:gridCol w:w="3583"/>
        <w:gridCol w:w="1331"/>
        <w:gridCol w:w="1486"/>
        <w:gridCol w:w="1415"/>
      </w:tblGrid>
      <w:tr w:rsidR="00831515" w:rsidRPr="00831515" w:rsidTr="00831515">
        <w:trPr>
          <w:tblCellSpacing w:w="7" w:type="dxa"/>
          <w:jc w:val="center"/>
        </w:trPr>
        <w:tc>
          <w:tcPr>
            <w:tcW w:w="23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Фьючерсный контракт </w:t>
            </w:r>
          </w:p>
        </w:tc>
        <w:tc>
          <w:tcPr>
            <w:tcW w:w="85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Кол-во сделок </w:t>
            </w:r>
          </w:p>
        </w:tc>
        <w:tc>
          <w:tcPr>
            <w:tcW w:w="95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Оборот в лотах </w:t>
            </w:r>
          </w:p>
        </w:tc>
        <w:tc>
          <w:tcPr>
            <w:tcW w:w="900" w:type="pct"/>
            <w:vAlign w:val="center"/>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Оборот млн. руб. </w:t>
            </w:r>
          </w:p>
        </w:tc>
      </w:tr>
      <w:tr w:rsidR="00831515" w:rsidRPr="00831515" w:rsidTr="00831515">
        <w:trPr>
          <w:trHeight w:val="285"/>
          <w:tblCellSpacing w:w="7" w:type="dxa"/>
          <w:jc w:val="center"/>
        </w:trPr>
        <w:tc>
          <w:tcPr>
            <w:tcW w:w="2300" w:type="pct"/>
            <w:vAlign w:val="bottom"/>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на курс акций РАО "ЕЭС России" </w:t>
            </w:r>
          </w:p>
        </w:tc>
        <w:tc>
          <w:tcPr>
            <w:tcW w:w="8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1 110 </w:t>
            </w:r>
          </w:p>
        </w:tc>
        <w:tc>
          <w:tcPr>
            <w:tcW w:w="9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15 780 </w:t>
            </w:r>
          </w:p>
        </w:tc>
        <w:tc>
          <w:tcPr>
            <w:tcW w:w="90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45.25 </w:t>
            </w:r>
          </w:p>
        </w:tc>
      </w:tr>
      <w:tr w:rsidR="00831515" w:rsidRPr="00831515" w:rsidTr="00831515">
        <w:trPr>
          <w:trHeight w:val="285"/>
          <w:tblCellSpacing w:w="7" w:type="dxa"/>
          <w:jc w:val="center"/>
        </w:trPr>
        <w:tc>
          <w:tcPr>
            <w:tcW w:w="2300" w:type="pct"/>
            <w:vAlign w:val="bottom"/>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на курс акций ОАО "ГАЗПРОМ" </w:t>
            </w:r>
          </w:p>
        </w:tc>
        <w:tc>
          <w:tcPr>
            <w:tcW w:w="8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400 </w:t>
            </w:r>
          </w:p>
        </w:tc>
        <w:tc>
          <w:tcPr>
            <w:tcW w:w="9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2 064 </w:t>
            </w:r>
          </w:p>
        </w:tc>
        <w:tc>
          <w:tcPr>
            <w:tcW w:w="90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19.97 </w:t>
            </w:r>
          </w:p>
        </w:tc>
      </w:tr>
      <w:tr w:rsidR="00831515" w:rsidRPr="00831515" w:rsidTr="00831515">
        <w:trPr>
          <w:trHeight w:val="285"/>
          <w:tblCellSpacing w:w="7" w:type="dxa"/>
          <w:jc w:val="center"/>
        </w:trPr>
        <w:tc>
          <w:tcPr>
            <w:tcW w:w="2300" w:type="pct"/>
            <w:vAlign w:val="bottom"/>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на доллар США </w:t>
            </w:r>
          </w:p>
        </w:tc>
        <w:tc>
          <w:tcPr>
            <w:tcW w:w="8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1 635 </w:t>
            </w:r>
          </w:p>
        </w:tc>
        <w:tc>
          <w:tcPr>
            <w:tcW w:w="9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37 330 </w:t>
            </w:r>
          </w:p>
        </w:tc>
        <w:tc>
          <w:tcPr>
            <w:tcW w:w="90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1 104.40 </w:t>
            </w:r>
          </w:p>
        </w:tc>
      </w:tr>
      <w:tr w:rsidR="00831515" w:rsidRPr="00831515" w:rsidTr="00831515">
        <w:trPr>
          <w:trHeight w:val="285"/>
          <w:tblCellSpacing w:w="7" w:type="dxa"/>
          <w:jc w:val="center"/>
        </w:trPr>
        <w:tc>
          <w:tcPr>
            <w:tcW w:w="2300" w:type="pct"/>
            <w:vAlign w:val="bottom"/>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на ЕВРО </w:t>
            </w:r>
          </w:p>
        </w:tc>
        <w:tc>
          <w:tcPr>
            <w:tcW w:w="8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4 </w:t>
            </w:r>
          </w:p>
        </w:tc>
        <w:tc>
          <w:tcPr>
            <w:tcW w:w="9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44 </w:t>
            </w:r>
          </w:p>
        </w:tc>
        <w:tc>
          <w:tcPr>
            <w:tcW w:w="90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1.18 </w:t>
            </w:r>
          </w:p>
        </w:tc>
      </w:tr>
      <w:tr w:rsidR="00831515" w:rsidRPr="00831515" w:rsidTr="00831515">
        <w:trPr>
          <w:trHeight w:val="285"/>
          <w:tblCellSpacing w:w="7" w:type="dxa"/>
          <w:jc w:val="center"/>
        </w:trPr>
        <w:tc>
          <w:tcPr>
            <w:tcW w:w="2300" w:type="pct"/>
            <w:vAlign w:val="bottom"/>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Всего в 2001 г.: </w:t>
            </w:r>
          </w:p>
        </w:tc>
        <w:tc>
          <w:tcPr>
            <w:tcW w:w="8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3 149 </w:t>
            </w:r>
          </w:p>
        </w:tc>
        <w:tc>
          <w:tcPr>
            <w:tcW w:w="95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55 218 </w:t>
            </w:r>
          </w:p>
        </w:tc>
        <w:tc>
          <w:tcPr>
            <w:tcW w:w="900" w:type="pct"/>
            <w:vAlign w:val="bottom"/>
            <w:hideMark/>
          </w:tcPr>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1 170.80 </w:t>
            </w:r>
          </w:p>
        </w:tc>
      </w:tr>
    </w:tbl>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В течение года проведены двухдневный семинар при поддержке ГУ ЦБ РФ по Санкт-Петербургу по организации биржевых торгов стандартными контрактами на СПВБ, а также учету и налогообложению операций со стандартными контрактами и семинар по рынку стандартных контрактов, организованный ГУ ЦБ РФ по Приморскому краю.</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Проводилась постоянная работа по взаимодействию с регулирующими органами, Государственной Думой ФС РФ, по участию в разработке и внесению изменений в законодательные и нормативные акты по рынку стандартных контрактов.</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декабре 2001 года состоялись выборы в первый состав Совета Секции стандартных контрактов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На диаграмме представлена динамика изменения оборотов торгов и среднедневного количества открытых позиций в Секции.</w:t>
      </w:r>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noProof/>
          <w:sz w:val="24"/>
          <w:szCs w:val="24"/>
          <w:lang w:eastAsia="ru-RU"/>
        </w:rPr>
        <w:drawing>
          <wp:inline distT="0" distB="0" distL="0" distR="0" wp14:anchorId="2D25700A" wp14:editId="10480BA6">
            <wp:extent cx="4857750" cy="2533650"/>
            <wp:effectExtent l="0" t="0" r="0" b="0"/>
            <wp:docPr id="8" name="Рисунок 8" descr="http://spvb.ru/press/img/rp20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vb.ru/press/img/rp2001_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0" cy="2533650"/>
                    </a:xfrm>
                    <a:prstGeom prst="rect">
                      <a:avLst/>
                    </a:prstGeom>
                    <a:noFill/>
                    <a:ln>
                      <a:noFill/>
                    </a:ln>
                  </pic:spPr>
                </pic:pic>
              </a:graphicData>
            </a:graphic>
          </wp:inline>
        </w:drawing>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Рейтинг участников торгов стандартными контрактами на СПВБ за 2001 год</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"Балтийское Финансовое Агентство", (Санкт-Петербург)</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КБ "Диалог-</w:t>
      </w:r>
      <w:proofErr w:type="spellStart"/>
      <w:r w:rsidRPr="00831515">
        <w:rPr>
          <w:rFonts w:ascii="Times New Roman" w:eastAsia="Times New Roman" w:hAnsi="Times New Roman" w:cs="Times New Roman"/>
          <w:b/>
          <w:bCs/>
          <w:color w:val="0000FF"/>
          <w:sz w:val="20"/>
          <w:szCs w:val="20"/>
          <w:lang w:eastAsia="ru-RU"/>
        </w:rPr>
        <w:t>Оптим</w:t>
      </w:r>
      <w:proofErr w:type="spellEnd"/>
      <w:r w:rsidRPr="00831515">
        <w:rPr>
          <w:rFonts w:ascii="Times New Roman" w:eastAsia="Times New Roman" w:hAnsi="Times New Roman" w:cs="Times New Roman"/>
          <w:b/>
          <w:bCs/>
          <w:color w:val="0000FF"/>
          <w:sz w:val="20"/>
          <w:szCs w:val="20"/>
          <w:lang w:eastAsia="ru-RU"/>
        </w:rPr>
        <w:t>", (Москва)</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"Коммерческий банк "ФОРБАНК", (Барнаул)</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"Балтийская Финансовая Компания", (Санкт-Петербург)</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"Петровский народный банк", (Санкт-Петербург)</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ЗАО "Акционерный коммерческий банк "СИГМА", (Москва)</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ОАО "Международный банк Санкт-Петербурга", (Санкт-Петербург)</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КБ "Русский Банк Развития", (Москва)</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ООО "Брокерская компания "Хеджевый фонд", (Санкт-Петербург)</w:t>
      </w:r>
    </w:p>
    <w:p w:rsidR="00831515" w:rsidRPr="00831515" w:rsidRDefault="00831515" w:rsidP="008315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color w:val="0000FF"/>
          <w:sz w:val="20"/>
          <w:szCs w:val="20"/>
          <w:lang w:eastAsia="ru-RU"/>
        </w:rPr>
        <w:t>АОЗТ "Петербургский Межбанковский Финансовый Дом", (Санкт-Петербург)</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 xml:space="preserve">8. </w:t>
      </w:r>
      <w:bookmarkStart w:id="7" w:name="8"/>
      <w:bookmarkEnd w:id="7"/>
      <w:r w:rsidRPr="00831515">
        <w:rPr>
          <w:rFonts w:ascii="Times New Roman" w:eastAsia="Times New Roman" w:hAnsi="Times New Roman" w:cs="Times New Roman"/>
          <w:b/>
          <w:bCs/>
          <w:sz w:val="24"/>
          <w:szCs w:val="24"/>
          <w:lang w:eastAsia="ru-RU"/>
        </w:rPr>
        <w:t>РАЗВИТИЕ ПРОЕКТОВ, БИРЖЕВЫХ И ИНФОРМАЦИОННЫХ ТЕХНОЛОГИЙ</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Организация торгов на Санкт-Петербургской валютной бирже основана на применении современных электронных технологий. Основным техническим средством проведения торгов и расчетов является электронные торговая система СПВБ, а также расчетно-клиринговая, расчетная и депозитарная системы. Программное обеспечение систем разработано специалистами биржи и его </w:t>
      </w:r>
      <w:proofErr w:type="gramStart"/>
      <w:r w:rsidRPr="00831515">
        <w:rPr>
          <w:rFonts w:ascii="Times New Roman" w:eastAsia="Times New Roman" w:hAnsi="Times New Roman" w:cs="Times New Roman"/>
          <w:sz w:val="24"/>
          <w:szCs w:val="24"/>
          <w:lang w:eastAsia="ru-RU"/>
        </w:rPr>
        <w:t>совершенствование</w:t>
      </w:r>
      <w:proofErr w:type="gramEnd"/>
      <w:r w:rsidRPr="00831515">
        <w:rPr>
          <w:rFonts w:ascii="Times New Roman" w:eastAsia="Times New Roman" w:hAnsi="Times New Roman" w:cs="Times New Roman"/>
          <w:sz w:val="24"/>
          <w:szCs w:val="24"/>
          <w:lang w:eastAsia="ru-RU"/>
        </w:rPr>
        <w:t xml:space="preserve"> и дальнейшее развитие производится силами сотрудников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Для повышения надежности и безопасности работы вычислительных мощностей СПВБ был создан резервный центр, в котором установлено дополнительное оборудование основных серверов и сетевого оборудования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В 2001 году расширялся состав участников торгов, использующих доступ к торговой системе СПВБ в режиме реального времени через сеть Интернет (программный продукт SPIN). </w:t>
      </w:r>
      <w:proofErr w:type="gramStart"/>
      <w:r w:rsidRPr="00831515">
        <w:rPr>
          <w:rFonts w:ascii="Times New Roman" w:eastAsia="Times New Roman" w:hAnsi="Times New Roman" w:cs="Times New Roman"/>
          <w:sz w:val="24"/>
          <w:szCs w:val="24"/>
          <w:lang w:eastAsia="ru-RU"/>
        </w:rPr>
        <w:t>На конец</w:t>
      </w:r>
      <w:proofErr w:type="gramEnd"/>
      <w:r w:rsidRPr="00831515">
        <w:rPr>
          <w:rFonts w:ascii="Times New Roman" w:eastAsia="Times New Roman" w:hAnsi="Times New Roman" w:cs="Times New Roman"/>
          <w:sz w:val="24"/>
          <w:szCs w:val="24"/>
          <w:lang w:eastAsia="ru-RU"/>
        </w:rPr>
        <w:t xml:space="preserve"> 2001 года заключены договоры на пользование этой услугой СПВБ с 97 участниками торгов. С октября 2001 года началась эксплуатация программного комплекса “Шлюз СПВБ”, предназначенного для организации двустороннего информационного обмена между брокерской системой участника торгов и торговой системой СПВБ. Первым участником, подключившимся к шлюзу СПВБ, стал</w:t>
      </w:r>
      <w:proofErr w:type="gramStart"/>
      <w:r w:rsidRPr="00831515">
        <w:rPr>
          <w:rFonts w:ascii="Times New Roman" w:eastAsia="Times New Roman" w:hAnsi="Times New Roman" w:cs="Times New Roman"/>
          <w:sz w:val="24"/>
          <w:szCs w:val="24"/>
          <w:lang w:eastAsia="ru-RU"/>
        </w:rPr>
        <w:t>о ООО</w:t>
      </w:r>
      <w:proofErr w:type="gramEnd"/>
      <w:r w:rsidRPr="00831515">
        <w:rPr>
          <w:rFonts w:ascii="Times New Roman" w:eastAsia="Times New Roman" w:hAnsi="Times New Roman" w:cs="Times New Roman"/>
          <w:sz w:val="24"/>
          <w:szCs w:val="24"/>
          <w:lang w:eastAsia="ru-RU"/>
        </w:rPr>
        <w:t xml:space="preserve"> “АВК - ценные бумаги”.</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Осенью 2001 года достигнуты договоренности с ММВБ о создании единого </w:t>
      </w:r>
      <w:proofErr w:type="spellStart"/>
      <w:r w:rsidRPr="00831515">
        <w:rPr>
          <w:rFonts w:ascii="Times New Roman" w:eastAsia="Times New Roman" w:hAnsi="Times New Roman" w:cs="Times New Roman"/>
          <w:sz w:val="24"/>
          <w:szCs w:val="24"/>
          <w:lang w:eastAsia="ru-RU"/>
        </w:rPr>
        <w:t>торгово</w:t>
      </w:r>
      <w:proofErr w:type="spellEnd"/>
      <w:r w:rsidRPr="00831515">
        <w:rPr>
          <w:rFonts w:ascii="Times New Roman" w:eastAsia="Times New Roman" w:hAnsi="Times New Roman" w:cs="Times New Roman"/>
          <w:sz w:val="24"/>
          <w:szCs w:val="24"/>
          <w:lang w:eastAsia="ru-RU"/>
        </w:rPr>
        <w:t>–информационного электронного пространства. Завершение начатой работы по реализации этих договоренностей позволит участникам торгов на СПВБ получить доступ к финансовым инструментам, торгующимся на ММВБ, а участникам ММВБ – к торгам на СПВБ.</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рамках развития сотрудничества с ММВБ, СПВБ в 2001 году начала работу по организации обслуживания торгов на СПВБ с НП “Национальный депозитарный центр”. Целью указанного проекта является расширение спектра предоставляемых биржей услуг и ценных бумаг, допущенных к обращению.</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СПВБ планирует применить в 2002 году новые решения в части организации торгов ценными бумагами. В частности, рассматривается вариант оптимизации расчетов по денежным средствам путем введения промежуточного клиринга в течение торгового дня. Кроме того, СПВБ планирует предложить участникам торгов в фондовой секции новые финансовые инструменты, такие как своп облигаций, своп процентных ставок облигаций. Также планируется несколько изменить правила совершения сделок </w:t>
      </w:r>
      <w:proofErr w:type="spellStart"/>
      <w:r w:rsidRPr="00831515">
        <w:rPr>
          <w:rFonts w:ascii="Times New Roman" w:eastAsia="Times New Roman" w:hAnsi="Times New Roman" w:cs="Times New Roman"/>
          <w:sz w:val="24"/>
          <w:szCs w:val="24"/>
          <w:lang w:eastAsia="ru-RU"/>
        </w:rPr>
        <w:t>репо</w:t>
      </w:r>
      <w:proofErr w:type="spellEnd"/>
      <w:r w:rsidRPr="00831515">
        <w:rPr>
          <w:rFonts w:ascii="Times New Roman" w:eastAsia="Times New Roman" w:hAnsi="Times New Roman" w:cs="Times New Roman"/>
          <w:sz w:val="24"/>
          <w:szCs w:val="24"/>
          <w:lang w:eastAsia="ru-RU"/>
        </w:rPr>
        <w:t>, с тем, чтобы придать этому инструменту большую гибкость.</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С целью повышения прозрачности и оптимизации торгов и расчетов в секции валютных операций СПВБ, ПРЦ </w:t>
      </w:r>
      <w:proofErr w:type="gramStart"/>
      <w:r w:rsidRPr="00831515">
        <w:rPr>
          <w:rFonts w:ascii="Times New Roman" w:eastAsia="Times New Roman" w:hAnsi="Times New Roman" w:cs="Times New Roman"/>
          <w:sz w:val="24"/>
          <w:szCs w:val="24"/>
          <w:lang w:eastAsia="ru-RU"/>
        </w:rPr>
        <w:t xml:space="preserve">был открыт корреспондентский счет в </w:t>
      </w:r>
      <w:proofErr w:type="spellStart"/>
      <w:r w:rsidRPr="00831515">
        <w:rPr>
          <w:rFonts w:ascii="Times New Roman" w:eastAsia="Times New Roman" w:hAnsi="Times New Roman" w:cs="Times New Roman"/>
          <w:sz w:val="24"/>
          <w:szCs w:val="24"/>
          <w:lang w:eastAsia="ru-RU"/>
        </w:rPr>
        <w:t>The</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Bank</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of</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New</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York</w:t>
      </w:r>
      <w:proofErr w:type="spellEnd"/>
      <w:r w:rsidRPr="00831515">
        <w:rPr>
          <w:rFonts w:ascii="Times New Roman" w:eastAsia="Times New Roman" w:hAnsi="Times New Roman" w:cs="Times New Roman"/>
          <w:sz w:val="24"/>
          <w:szCs w:val="24"/>
          <w:lang w:eastAsia="ru-RU"/>
        </w:rPr>
        <w:t xml:space="preserve"> и велась</w:t>
      </w:r>
      <w:proofErr w:type="gramEnd"/>
      <w:r w:rsidRPr="00831515">
        <w:rPr>
          <w:rFonts w:ascii="Times New Roman" w:eastAsia="Times New Roman" w:hAnsi="Times New Roman" w:cs="Times New Roman"/>
          <w:sz w:val="24"/>
          <w:szCs w:val="24"/>
          <w:lang w:eastAsia="ru-RU"/>
        </w:rPr>
        <w:t xml:space="preserve"> подготовительная работа по организации торгов иностранной валютой с использованием корреспондентских счетов участников торгов на СПВБ в ПРЦ.</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2002 году предполагается осуществить проект по организации торгов долларами США и евро на СПВБ без предварительного 100 - процентного депонирования денежных средств участниками торгов с расчетами TOD и TOM .</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В настоящее время разработаны проекты спецификаций поставочных фьючерсных контрактов на облигации внешнего облигационного займа РФ (еврооблигации), а также опционов на нефть и нефтепродукты. В 2002 году планируется согласование спецификаций с регулирующими органами и запуск новых инструментов.</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В рамках проекта "Рынок Роста Санкт-Петербург" в 2001 году были подписаны договоры “О предварительной подготовке компании к первичному размещению” с четырьмя предприятиями: </w:t>
      </w:r>
      <w:proofErr w:type="spellStart"/>
      <w:r w:rsidRPr="00831515">
        <w:rPr>
          <w:rFonts w:ascii="Times New Roman" w:eastAsia="Times New Roman" w:hAnsi="Times New Roman" w:cs="Times New Roman"/>
          <w:sz w:val="24"/>
          <w:szCs w:val="24"/>
          <w:lang w:eastAsia="ru-RU"/>
        </w:rPr>
        <w:t>Оптен</w:t>
      </w:r>
      <w:proofErr w:type="spellEnd"/>
      <w:r w:rsidRPr="00831515">
        <w:rPr>
          <w:rFonts w:ascii="Times New Roman" w:eastAsia="Times New Roman" w:hAnsi="Times New Roman" w:cs="Times New Roman"/>
          <w:sz w:val="24"/>
          <w:szCs w:val="24"/>
          <w:lang w:eastAsia="ru-RU"/>
        </w:rPr>
        <w:t xml:space="preserve">, Перспективные технологии, </w:t>
      </w:r>
      <w:proofErr w:type="spellStart"/>
      <w:r w:rsidRPr="00831515">
        <w:rPr>
          <w:rFonts w:ascii="Times New Roman" w:eastAsia="Times New Roman" w:hAnsi="Times New Roman" w:cs="Times New Roman"/>
          <w:sz w:val="24"/>
          <w:szCs w:val="24"/>
          <w:lang w:eastAsia="ru-RU"/>
        </w:rPr>
        <w:t>Невисс</w:t>
      </w:r>
      <w:proofErr w:type="spellEnd"/>
      <w:r w:rsidRPr="00831515">
        <w:rPr>
          <w:rFonts w:ascii="Times New Roman" w:eastAsia="Times New Roman" w:hAnsi="Times New Roman" w:cs="Times New Roman"/>
          <w:sz w:val="24"/>
          <w:szCs w:val="24"/>
          <w:lang w:eastAsia="ru-RU"/>
        </w:rPr>
        <w:t xml:space="preserve">-Комплекс и </w:t>
      </w:r>
      <w:proofErr w:type="spellStart"/>
      <w:r w:rsidRPr="00831515">
        <w:rPr>
          <w:rFonts w:ascii="Times New Roman" w:eastAsia="Times New Roman" w:hAnsi="Times New Roman" w:cs="Times New Roman"/>
          <w:sz w:val="24"/>
          <w:szCs w:val="24"/>
          <w:lang w:eastAsia="ru-RU"/>
        </w:rPr>
        <w:t>Аскод</w:t>
      </w:r>
      <w:proofErr w:type="spellEnd"/>
      <w:r w:rsidRPr="00831515">
        <w:rPr>
          <w:rFonts w:ascii="Times New Roman" w:eastAsia="Times New Roman" w:hAnsi="Times New Roman" w:cs="Times New Roman"/>
          <w:sz w:val="24"/>
          <w:szCs w:val="24"/>
          <w:lang w:eastAsia="ru-RU"/>
        </w:rPr>
        <w:t>. В соответствии с этими договорами были подготовлены инвестиционные профили компаний. В настоящее время идет работа по поиску партнеров для этих компаний, которые бы взяли на себя роль консультантов и андеррайтеров.</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 xml:space="preserve">Осуществляя информационную поддержку для всех заинтересованных лиц, биржа транслирует ход торгов на СПВБ в режиме реального времени через ведущие информационные агентства: REUTERS (&lt;SPCEX01&gt;…&lt;SPCEX14&gt;), Интерфакс, </w:t>
      </w:r>
      <w:proofErr w:type="spellStart"/>
      <w:r w:rsidRPr="00831515">
        <w:rPr>
          <w:rFonts w:ascii="Times New Roman" w:eastAsia="Times New Roman" w:hAnsi="Times New Roman" w:cs="Times New Roman"/>
          <w:sz w:val="24"/>
          <w:szCs w:val="24"/>
          <w:lang w:eastAsia="ru-RU"/>
        </w:rPr>
        <w:t>РосБизнесКонсалтинг</w:t>
      </w:r>
      <w:proofErr w:type="spellEnd"/>
      <w:r w:rsidRPr="00831515">
        <w:rPr>
          <w:rFonts w:ascii="Times New Roman" w:eastAsia="Times New Roman" w:hAnsi="Times New Roman" w:cs="Times New Roman"/>
          <w:sz w:val="24"/>
          <w:szCs w:val="24"/>
          <w:lang w:eastAsia="ru-RU"/>
        </w:rPr>
        <w:t xml:space="preserve">, </w:t>
      </w:r>
      <w:proofErr w:type="spellStart"/>
      <w:r w:rsidRPr="00831515">
        <w:rPr>
          <w:rFonts w:ascii="Times New Roman" w:eastAsia="Times New Roman" w:hAnsi="Times New Roman" w:cs="Times New Roman"/>
          <w:sz w:val="24"/>
          <w:szCs w:val="24"/>
          <w:lang w:eastAsia="ru-RU"/>
        </w:rPr>
        <w:t>Финмаркет</w:t>
      </w:r>
      <w:proofErr w:type="spellEnd"/>
      <w:r w:rsidRPr="00831515">
        <w:rPr>
          <w:rFonts w:ascii="Times New Roman" w:eastAsia="Times New Roman" w:hAnsi="Times New Roman" w:cs="Times New Roman"/>
          <w:sz w:val="24"/>
          <w:szCs w:val="24"/>
          <w:lang w:eastAsia="ru-RU"/>
        </w:rPr>
        <w:t xml:space="preserve">, Петербургский межбанковский финансовый дом, </w:t>
      </w:r>
      <w:proofErr w:type="spellStart"/>
      <w:r w:rsidRPr="00831515">
        <w:rPr>
          <w:rFonts w:ascii="Times New Roman" w:eastAsia="Times New Roman" w:hAnsi="Times New Roman" w:cs="Times New Roman"/>
          <w:sz w:val="24"/>
          <w:szCs w:val="24"/>
          <w:lang w:eastAsia="ru-RU"/>
        </w:rPr>
        <w:t>Метроком</w:t>
      </w:r>
      <w:proofErr w:type="spellEnd"/>
      <w:r w:rsidRPr="00831515">
        <w:rPr>
          <w:rFonts w:ascii="Times New Roman" w:eastAsia="Times New Roman" w:hAnsi="Times New Roman" w:cs="Times New Roman"/>
          <w:sz w:val="24"/>
          <w:szCs w:val="24"/>
          <w:lang w:eastAsia="ru-RU"/>
        </w:rPr>
        <w:t>.</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Итоги торгов на СПВБ, а также условия участия в торгах для банков и инвестиционных компаний и иная информация о деятельности СПВБ помещены в сети Интернет по адресам: </w:t>
      </w:r>
      <w:hyperlink r:id="rId24" w:history="1">
        <w:r w:rsidRPr="00831515">
          <w:rPr>
            <w:rFonts w:ascii="Times New Roman" w:eastAsia="Times New Roman" w:hAnsi="Times New Roman" w:cs="Times New Roman"/>
            <w:color w:val="0000FF"/>
            <w:sz w:val="24"/>
            <w:szCs w:val="24"/>
            <w:u w:val="single"/>
            <w:lang w:eastAsia="ru-RU"/>
          </w:rPr>
          <w:t>www.spcex.ru</w:t>
        </w:r>
      </w:hyperlink>
      <w:r w:rsidRPr="00831515">
        <w:rPr>
          <w:rFonts w:ascii="Times New Roman" w:eastAsia="Times New Roman" w:hAnsi="Times New Roman" w:cs="Times New Roman"/>
          <w:sz w:val="24"/>
          <w:szCs w:val="24"/>
          <w:lang w:eastAsia="ru-RU"/>
        </w:rPr>
        <w:t xml:space="preserve">, </w:t>
      </w:r>
      <w:hyperlink r:id="rId25" w:history="1">
        <w:r w:rsidRPr="00831515">
          <w:rPr>
            <w:rFonts w:ascii="Times New Roman" w:eastAsia="Times New Roman" w:hAnsi="Times New Roman" w:cs="Times New Roman"/>
            <w:color w:val="0000FF"/>
            <w:sz w:val="24"/>
            <w:szCs w:val="24"/>
            <w:u w:val="single"/>
            <w:lang w:eastAsia="ru-RU"/>
          </w:rPr>
          <w:t>www.gms.ru</w:t>
        </w:r>
      </w:hyperlink>
      <w:r w:rsidRPr="00831515">
        <w:rPr>
          <w:rFonts w:ascii="Times New Roman" w:eastAsia="Times New Roman" w:hAnsi="Times New Roman" w:cs="Times New Roman"/>
          <w:sz w:val="24"/>
          <w:szCs w:val="24"/>
          <w:lang w:eastAsia="ru-RU"/>
        </w:rPr>
        <w:t>.</w:t>
      </w:r>
    </w:p>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9.</w:t>
      </w:r>
      <w:bookmarkStart w:id="8" w:name="9"/>
      <w:bookmarkEnd w:id="8"/>
      <w:r w:rsidRPr="00831515">
        <w:rPr>
          <w:rFonts w:ascii="Times New Roman" w:eastAsia="Times New Roman" w:hAnsi="Times New Roman" w:cs="Times New Roman"/>
          <w:b/>
          <w:bCs/>
          <w:sz w:val="24"/>
          <w:szCs w:val="24"/>
          <w:lang w:eastAsia="ru-RU"/>
        </w:rPr>
        <w:t>БАЛАНС НА 31 ДЕКАБРЯ 2001 ГОДА</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6018"/>
        <w:gridCol w:w="1538"/>
      </w:tblGrid>
      <w:tr w:rsidR="00831515" w:rsidRPr="00831515" w:rsidTr="00831515">
        <w:trPr>
          <w:tblCellSpacing w:w="15" w:type="dxa"/>
        </w:trPr>
        <w:tc>
          <w:tcPr>
            <w:tcW w:w="4000" w:type="pct"/>
            <w:hideMark/>
          </w:tcPr>
          <w:p w:rsidR="00831515" w:rsidRPr="00831515" w:rsidRDefault="00831515" w:rsidP="00831515">
            <w:pPr>
              <w:spacing w:after="0"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тыс. руб.,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АКТИВ</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НЕМАТЕРИАЛЬНЫЕ АКТИВЫ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585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ОСНОВНЫЕ СРЕДСТВА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17402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НЕЗАВЕРШЕННОЕ СТРОИТЕЛЬСТВО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26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ДОЛГОСРОЧНЫЕ ФИНАНСОВЫЕ ВЛОЖЕНИЯ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4857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ЗАПАСЫ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1025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НДС ПО ПРИОБРЕТЕННЫМ ЦЕННОСТЯМ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122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ДЕБИТОРСКАЯ ЗАДОЛЖЕННОСТЬ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49025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КРАТКОСРОЧНЫЕ ФИНАНСОВЫЕ ВЛОЖЕНИЯ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163333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ДЕНЕЖНЫЕ СРЕДСТВА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39362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БАЛАНС</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275737</w:t>
            </w:r>
            <w:r w:rsidRPr="00831515">
              <w:rPr>
                <w:rFonts w:ascii="Times New Roman" w:eastAsia="Times New Roman" w:hAnsi="Times New Roman" w:cs="Times New Roman"/>
                <w:sz w:val="24"/>
                <w:szCs w:val="24"/>
                <w:lang w:eastAsia="ru-RU"/>
              </w:rPr>
              <w:t xml:space="preserve">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ПАССИВ</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УСТАВНЫЙ КАПИТАЛ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302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ДОБАВОЧНЫЙ КАПИТАЛ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3930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РЕЗЕРВНЫЙ КАПИТАЛ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831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ФОНДЫ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139873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НЕРАСПРЕДЕЛЕННАЯ ПРИБЫЛЬ ОТЧЕТНОГО ГОДА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51797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КРЕДИТОРСКАЯ ЗАДОЛЖЕННОСТЬ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79004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БАЛАНС</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275737</w:t>
            </w:r>
            <w:r w:rsidRPr="00831515">
              <w:rPr>
                <w:rFonts w:ascii="Times New Roman" w:eastAsia="Times New Roman" w:hAnsi="Times New Roman" w:cs="Times New Roman"/>
                <w:sz w:val="24"/>
                <w:szCs w:val="24"/>
                <w:lang w:eastAsia="ru-RU"/>
              </w:rPr>
              <w:t xml:space="preserve"> </w:t>
            </w:r>
          </w:p>
        </w:tc>
      </w:tr>
    </w:tbl>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10.</w:t>
      </w:r>
      <w:bookmarkStart w:id="9" w:name="10"/>
      <w:bookmarkEnd w:id="9"/>
      <w:r w:rsidRPr="00831515">
        <w:rPr>
          <w:rFonts w:ascii="Times New Roman" w:eastAsia="Times New Roman" w:hAnsi="Times New Roman" w:cs="Times New Roman"/>
          <w:b/>
          <w:bCs/>
          <w:sz w:val="24"/>
          <w:szCs w:val="24"/>
          <w:lang w:eastAsia="ru-RU"/>
        </w:rPr>
        <w:t>ФИНАНСОВЫЕ РЕЗУЛЬТАТЫ ЗА 2001 ГОД</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6018"/>
        <w:gridCol w:w="1538"/>
      </w:tblGrid>
      <w:tr w:rsidR="00831515" w:rsidRPr="00831515" w:rsidTr="00831515">
        <w:trPr>
          <w:tblCellSpacing w:w="15" w:type="dxa"/>
        </w:trPr>
        <w:tc>
          <w:tcPr>
            <w:tcW w:w="4000" w:type="pct"/>
            <w:hideMark/>
          </w:tcPr>
          <w:p w:rsidR="00831515" w:rsidRPr="00831515" w:rsidRDefault="00831515" w:rsidP="00831515">
            <w:pPr>
              <w:spacing w:after="0"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w:t>
            </w:r>
          </w:p>
        </w:tc>
        <w:tc>
          <w:tcPr>
            <w:tcW w:w="1000" w:type="pct"/>
            <w:hideMark/>
          </w:tcPr>
          <w:p w:rsidR="00831515" w:rsidRPr="00831515" w:rsidRDefault="00831515" w:rsidP="00831515">
            <w:pPr>
              <w:spacing w:after="0"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тыс. руб.,</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ДОХОДЫ</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ВЫРУЧКА ОТ РЕАЛИЗАЦИИ УСЛУГ НА РЫНКЕ ЦЕННЫХ БУМАГ И ВАЛЮТНОМ РЫНКЕ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125097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ОПЕРАЦИОННЫЕ, ВНЕРЕАЛИЗАЦИОННЫЕ ДОХОДЫ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126884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ВСЕГО ДОХОДОВ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251981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РАСХОДЫ</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СЕБЕСТОИМОСТЬ РЕАЛИЗАЦИИ РАБОТ, УСЛУГ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79091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ОПЕРАЦИОННЫЕ, ВНЕРЕАЛИЗАЦИОННЫЕ </w:t>
            </w:r>
            <w:r w:rsidRPr="00831515">
              <w:rPr>
                <w:rFonts w:ascii="Times New Roman" w:eastAsia="Times New Roman" w:hAnsi="Times New Roman" w:cs="Times New Roman"/>
                <w:sz w:val="24"/>
                <w:szCs w:val="24"/>
                <w:lang w:eastAsia="ru-RU"/>
              </w:rPr>
              <w:lastRenderedPageBreak/>
              <w:t xml:space="preserve">РАСХОДЫ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 xml:space="preserve">94716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lastRenderedPageBreak/>
              <w:t xml:space="preserve">ВСЕГО РАСХОДОВ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173807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БАЛАНСОВАЯ ПРИБЫЛЬ</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78174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НАЛОГ НА ПРИБЫЛЬ ПЛАТЕЖИ</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26377 </w:t>
            </w:r>
          </w:p>
        </w:tc>
      </w:tr>
      <w:tr w:rsidR="00831515" w:rsidRPr="00831515" w:rsidTr="00831515">
        <w:trPr>
          <w:tblCellSpacing w:w="15" w:type="dxa"/>
        </w:trPr>
        <w:tc>
          <w:tcPr>
            <w:tcW w:w="4000" w:type="pct"/>
            <w:hideMark/>
          </w:tcPr>
          <w:p w:rsidR="00831515" w:rsidRPr="00831515" w:rsidRDefault="00831515" w:rsidP="00831515">
            <w:pPr>
              <w:spacing w:before="100" w:beforeAutospacing="1" w:after="100" w:afterAutospacing="1" w:line="240" w:lineRule="auto"/>
              <w:rPr>
                <w:rFonts w:ascii="Times New Roman" w:eastAsia="Times New Roman" w:hAnsi="Times New Roman" w:cs="Times New Roman"/>
                <w:sz w:val="24"/>
                <w:szCs w:val="24"/>
                <w:lang w:eastAsia="ru-RU"/>
              </w:rPr>
            </w:pPr>
            <w:r w:rsidRPr="00831515">
              <w:rPr>
                <w:rFonts w:ascii="Times New Roman" w:eastAsia="Times New Roman" w:hAnsi="Times New Roman" w:cs="Times New Roman"/>
                <w:b/>
                <w:bCs/>
                <w:sz w:val="24"/>
                <w:szCs w:val="24"/>
                <w:lang w:eastAsia="ru-RU"/>
              </w:rPr>
              <w:t>ПРИБЫЛЬ, ОСТАЮЩАЯСЯ В РАСПОРЯЖЕНИИ ОБЩЕСТВА НА 01.01.2002 ГОДА</w:t>
            </w:r>
            <w:r w:rsidRPr="00831515">
              <w:rPr>
                <w:rFonts w:ascii="Times New Roman" w:eastAsia="Times New Roman" w:hAnsi="Times New Roman" w:cs="Times New Roman"/>
                <w:sz w:val="24"/>
                <w:szCs w:val="24"/>
                <w:lang w:eastAsia="ru-RU"/>
              </w:rPr>
              <w:t xml:space="preserve"> </w:t>
            </w:r>
          </w:p>
        </w:tc>
        <w:tc>
          <w:tcPr>
            <w:tcW w:w="1000" w:type="pct"/>
            <w:hideMark/>
          </w:tcPr>
          <w:p w:rsidR="00831515" w:rsidRPr="00831515" w:rsidRDefault="00831515" w:rsidP="008315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xml:space="preserve">51797 </w:t>
            </w:r>
          </w:p>
        </w:tc>
      </w:tr>
    </w:tbl>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_GoBack"/>
      <w:bookmarkEnd w:id="10"/>
    </w:p>
    <w:p w:rsidR="00831515" w:rsidRPr="00831515" w:rsidRDefault="00831515" w:rsidP="008315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 </w:t>
      </w:r>
    </w:p>
    <w:p w:rsidR="006C77FB" w:rsidRPr="00831515" w:rsidRDefault="00831515" w:rsidP="00831515">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r w:rsidRPr="00831515">
        <w:rPr>
          <w:rFonts w:ascii="Times New Roman" w:eastAsia="Times New Roman" w:hAnsi="Times New Roman" w:cs="Times New Roman"/>
          <w:sz w:val="24"/>
          <w:szCs w:val="24"/>
          <w:lang w:eastAsia="ru-RU"/>
        </w:rPr>
        <w:t>Санкт-Петербург</w:t>
      </w:r>
      <w:r w:rsidRPr="00831515">
        <w:rPr>
          <w:rFonts w:ascii="Times New Roman" w:eastAsia="Times New Roman" w:hAnsi="Times New Roman" w:cs="Times New Roman"/>
          <w:sz w:val="24"/>
          <w:szCs w:val="24"/>
          <w:lang w:eastAsia="ru-RU"/>
        </w:rPr>
        <w:br/>
        <w:t>2002</w:t>
      </w:r>
    </w:p>
    <w:sectPr w:rsidR="006C77FB" w:rsidRPr="0083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09D0"/>
    <w:multiLevelType w:val="multilevel"/>
    <w:tmpl w:val="63F4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411E59"/>
    <w:multiLevelType w:val="multilevel"/>
    <w:tmpl w:val="F518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E238AF"/>
    <w:multiLevelType w:val="multilevel"/>
    <w:tmpl w:val="A9B8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B71E72"/>
    <w:multiLevelType w:val="multilevel"/>
    <w:tmpl w:val="6B26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05D84"/>
    <w:multiLevelType w:val="multilevel"/>
    <w:tmpl w:val="9FFAC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C6380"/>
    <w:multiLevelType w:val="multilevel"/>
    <w:tmpl w:val="FC48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F90330"/>
    <w:multiLevelType w:val="multilevel"/>
    <w:tmpl w:val="03B0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FE64E6"/>
    <w:multiLevelType w:val="multilevel"/>
    <w:tmpl w:val="2D80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15"/>
    <w:rsid w:val="006C77FB"/>
    <w:rsid w:val="00831515"/>
    <w:rsid w:val="0087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b.ru/press/itog2001.stm" TargetMode="External"/><Relationship Id="rId13" Type="http://schemas.openxmlformats.org/officeDocument/2006/relationships/hyperlink" Target="http://spvb.ru/press/itog2001.stm" TargetMode="External"/><Relationship Id="rId18" Type="http://schemas.openxmlformats.org/officeDocument/2006/relationships/image" Target="media/image3.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gif"/><Relationship Id="rId7" Type="http://schemas.openxmlformats.org/officeDocument/2006/relationships/hyperlink" Target="http://spvb.ru/press/itog2001.stm" TargetMode="External"/><Relationship Id="rId12" Type="http://schemas.openxmlformats.org/officeDocument/2006/relationships/hyperlink" Target="http://spvb.ru/press/itog2001.stm" TargetMode="External"/><Relationship Id="rId17" Type="http://schemas.openxmlformats.org/officeDocument/2006/relationships/image" Target="media/image2.gif"/><Relationship Id="rId25" Type="http://schemas.openxmlformats.org/officeDocument/2006/relationships/hyperlink" Target="http://www.gms.ru/"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spvb.ru/press/itog2001.stm" TargetMode="External"/><Relationship Id="rId11" Type="http://schemas.openxmlformats.org/officeDocument/2006/relationships/hyperlink" Target="http://spvb.ru/press/itog2001.stm" TargetMode="External"/><Relationship Id="rId24" Type="http://schemas.openxmlformats.org/officeDocument/2006/relationships/hyperlink" Target="http://www.spcex.ru/" TargetMode="External"/><Relationship Id="rId5" Type="http://schemas.openxmlformats.org/officeDocument/2006/relationships/webSettings" Target="webSettings.xml"/><Relationship Id="rId15" Type="http://schemas.openxmlformats.org/officeDocument/2006/relationships/hyperlink" Target="http://spvb.ru/press/itog2001.stm" TargetMode="External"/><Relationship Id="rId23" Type="http://schemas.openxmlformats.org/officeDocument/2006/relationships/image" Target="media/image8.gif"/><Relationship Id="rId10" Type="http://schemas.openxmlformats.org/officeDocument/2006/relationships/hyperlink" Target="http://spvb.ru/press/itog2001.stm"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spvb.ru/press/itog2001.stm" TargetMode="External"/><Relationship Id="rId14" Type="http://schemas.openxmlformats.org/officeDocument/2006/relationships/hyperlink" Target="http://spvb.ru/press/itog2001.stm" TargetMode="External"/><Relationship Id="rId22" Type="http://schemas.openxmlformats.org/officeDocument/2006/relationships/image" Target="media/image7.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Дерягина Александра</dc:creator>
  <cp:lastModifiedBy>Дерягина Александра</cp:lastModifiedBy>
  <cp:revision>2</cp:revision>
  <dcterms:created xsi:type="dcterms:W3CDTF">2018-03-19T14:16:00Z</dcterms:created>
  <dcterms:modified xsi:type="dcterms:W3CDTF">2018-03-19T14:16:00Z</dcterms:modified>
</cp:coreProperties>
</file>